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JSZC-321000-SWGC-G2025-0237</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江苏省苏北人民医院智慧病房项目建设（二次）</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2025年11月</w:t>
      </w:r>
      <w:r>
        <w:rPr>
          <w:rFonts w:hint="eastAsia" w:ascii="宋体" w:hAnsi="宋体" w:cs="宋体"/>
          <w:b/>
          <w:bCs/>
          <w:color w:val="auto"/>
          <w:sz w:val="36"/>
          <w:highlight w:val="none"/>
          <w:lang w:val="en-US" w:eastAsia="zh-CN"/>
        </w:rPr>
        <w:t xml:space="preserve">20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71"/>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83"/>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eastAsia="zh-CN"/>
        </w:rPr>
        <w:t xml:space="preserve">江苏省苏北人民医院智慧病房项目建设（二次）</w:t>
      </w:r>
      <w:r>
        <w:rPr>
          <w:rFonts w:hint="eastAsia"/>
          <w:color w:val="auto"/>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83"/>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83"/>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_Toc18427 \h </w:instrText>
      </w:r>
      <w:r>
        <w:rPr>
          <w:color w:val="auto"/>
          <w:highlight w:val="none"/>
        </w:rPr>
        <w:fldChar w:fldCharType="separate"/>
      </w:r>
      <w:r>
        <w:rPr>
          <w:color w:val="auto"/>
          <w:highlight w:val="none"/>
        </w:rPr>
        <w:t xml:space="preserve">1</w:t>
      </w:r>
      <w:r>
        <w:rPr>
          <w:rFonts w:hint="eastAsia"/>
          <w:color w:val="auto"/>
          <w:highlight w:val="none"/>
        </w:rPr>
        <w:t xml:space="preserve">6</w:t>
      </w:r>
      <w:r>
        <w:rPr>
          <w:color w:val="auto"/>
          <w:highlight w:val="none"/>
        </w:rPr>
        <w:fldChar w:fldCharType="end"/>
      </w:r>
      <w:r/>
    </w:p>
    <w:p>
      <w:pPr>
        <w:pStyle w:val="783"/>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_Toc12506 \h </w:instrText>
      </w:r>
      <w:r>
        <w:rPr>
          <w:color w:val="auto"/>
          <w:highlight w:val="none"/>
        </w:rPr>
        <w:fldChar w:fldCharType="separate"/>
      </w:r>
      <w:r>
        <w:rPr>
          <w:color w:val="auto"/>
          <w:highlight w:val="none"/>
        </w:rPr>
        <w:t xml:space="preserve">2</w:t>
      </w:r>
      <w:r>
        <w:rPr>
          <w:rFonts w:hint="eastAsia"/>
          <w:color w:val="auto"/>
          <w:highlight w:val="none"/>
        </w:rPr>
        <w:t xml:space="preserve">0</w:t>
      </w:r>
      <w:r>
        <w:rPr>
          <w:color w:val="auto"/>
          <w:highlight w:val="none"/>
        </w:rPr>
        <w:fldChar w:fldCharType="end"/>
      </w:r>
      <w:r/>
    </w:p>
    <w:p>
      <w:pPr>
        <w:pStyle w:val="783"/>
        <w:tabs>
          <w:tab w:val="right" w:pos="8306" w:leader="dot"/>
        </w:tabs>
        <w:rPr>
          <w:rFonts w:hint="eastAsia" w:eastAsia="宋体"/>
          <w:color w:val="auto"/>
          <w:highlight w:val="none"/>
          <w:lang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4</w:t>
      </w:r>
      <w:r>
        <w:rPr>
          <w:rFonts w:hint="eastAsia"/>
          <w:color w:val="auto"/>
          <w:highlight w:val="none"/>
          <w:lang w:val="en-US" w:eastAsia="zh-CN"/>
        </w:rPr>
        <w:t xml:space="preserve">3</w:t>
      </w:r>
      <w:r/>
    </w:p>
    <w:p>
      <w:pPr>
        <w:pStyle w:val="783"/>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53</w:t>
      </w:r>
      <w:r/>
    </w:p>
    <w:p>
      <w:pPr>
        <w:pStyle w:val="789"/>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57"/>
        <w:numPr>
          <w:ilvl w:val="0"/>
          <w:numId w:val="0"/>
        </w:numPr>
        <w:ind w:left="392"/>
        <w:rPr>
          <w:rFonts w:hint="eastAsia" w:eastAsia="宋体"/>
          <w:color w:val="auto"/>
          <w:highlight w:val="none"/>
          <w:lang w:eastAsia="zh-CN"/>
        </w:rPr>
      </w:pPr>
      <w:r/>
      <w:bookmarkStart w:id="0" w:name="_Toc30208"/>
      <w:r/>
      <w:bookmarkStart w:id="1" w:name="_Toc55204177"/>
      <w:r>
        <w:rPr>
          <w:rFonts w:hint="eastAsia"/>
          <w:color w:val="auto"/>
          <w:highlight w:val="none"/>
        </w:rPr>
        <w:t xml:space="preserve">第一章 </w:t>
      </w:r>
      <w:bookmarkEnd w:id="0"/>
      <w:r>
        <w:rPr>
          <w:rFonts w:hint="eastAsia"/>
          <w:color w:val="auto"/>
          <w:highlight w:val="none"/>
          <w:lang w:eastAsia="zh-CN"/>
        </w:rPr>
        <w:t xml:space="preserve">江苏省苏北人民医院智慧病房项目建设（二次）</w:t>
      </w:r>
      <w:r/>
    </w:p>
    <w:p>
      <w:pPr>
        <w:pStyle w:val="757"/>
        <w:numPr>
          <w:ilvl w:val="0"/>
          <w:numId w:val="0"/>
        </w:numPr>
        <w:ind w:left="392"/>
        <w:rPr>
          <w:color w:val="auto"/>
          <w:highlight w:val="none"/>
        </w:rPr>
      </w:pPr>
      <w:r/>
      <w:bookmarkStart w:id="2" w:name="_Toc27417"/>
      <w:r>
        <w:rPr>
          <w:rFonts w:hint="eastAsia"/>
          <w:color w:val="auto"/>
          <w:highlight w:val="none"/>
        </w:rPr>
        <w:t xml:space="preserve">采购公告</w:t>
      </w:r>
      <w:bookmarkEnd w:id="1"/>
      <w:r/>
      <w:bookmarkEnd w:id="2"/>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受江苏省苏北人民医院的委托，江苏苏维工程管理有限公司就</w:t>
      </w:r>
      <w:r>
        <w:rPr>
          <w:rFonts w:hint="eastAsia" w:ascii="宋体" w:hAnsi="宋体" w:cs="宋体"/>
          <w:color w:val="auto"/>
          <w:highlight w:val="none"/>
          <w:lang w:eastAsia="zh-CN"/>
        </w:rPr>
        <w:t xml:space="preserve">江苏省苏北人民医院智慧病房项目建设（二次）</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JSZC-321000-SWGC-G2025-0237</w:t>
      </w:r>
      <w:r>
        <w:rPr>
          <w:rFonts w:hint="eastAsia" w:ascii="宋体" w:hAnsi="宋体" w:cs="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江苏省苏北人民医院智慧病房项目建设（二次）</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ff0000"/>
          <w:highlight w:val="none"/>
          <w:u w:val="single"/>
        </w:rPr>
        <w:t xml:space="preserve">2025年</w:t>
      </w:r>
      <w:r>
        <w:rPr>
          <w:rFonts w:hint="eastAsia" w:ascii="宋体" w:hAnsi="宋体" w:cs="宋体"/>
          <w:bCs/>
          <w:color w:val="ff0000"/>
          <w:highlight w:val="none"/>
          <w:u w:val="single"/>
          <w:lang w:val="en-US" w:eastAsia="zh-CN"/>
        </w:rPr>
        <w:t xml:space="preserve">12</w:t>
      </w:r>
      <w:r>
        <w:rPr>
          <w:rFonts w:hint="eastAsia" w:ascii="宋体" w:hAnsi="宋体" w:cs="宋体"/>
          <w:bCs/>
          <w:color w:val="ff0000"/>
          <w:highlight w:val="none"/>
          <w:u w:val="single"/>
        </w:rPr>
        <w:t xml:space="preserve">月</w:t>
      </w:r>
      <w:r>
        <w:rPr>
          <w:rFonts w:hint="eastAsia" w:ascii="宋体" w:hAnsi="宋体" w:cs="宋体"/>
          <w:bCs/>
          <w:color w:val="ff0000"/>
          <w:highlight w:val="none"/>
          <w:u w:val="single"/>
          <w:lang w:val="en-US" w:eastAsia="zh-CN"/>
        </w:rPr>
        <w:t xml:space="preserve">31</w:t>
      </w:r>
      <w:r>
        <w:rPr>
          <w:rFonts w:hint="eastAsia" w:ascii="宋体" w:hAnsi="宋体" w:cs="宋体"/>
          <w:bCs/>
          <w:color w:val="ff0000"/>
          <w:highlight w:val="none"/>
          <w:u w:val="single"/>
        </w:rPr>
        <w:t xml:space="preserve">日上午9:30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hint="eastAsia" w:ascii="宋体" w:hAnsi="宋体" w:cs="宋体"/>
          <w:b/>
          <w:bCs/>
          <w:color w:val="auto"/>
          <w:highlight w:val="none"/>
        </w:rPr>
      </w:pPr>
      <w:r/>
      <w:bookmarkStart w:id="3" w:name="_Toc35393621"/>
      <w:r/>
      <w:bookmarkStart w:id="4" w:name="_Toc28359079"/>
      <w:r/>
      <w:bookmarkStart w:id="5" w:name="_Toc35393790"/>
      <w:r/>
      <w:bookmarkStart w:id="6" w:name="_Toc28359002"/>
      <w:r/>
      <w:bookmarkStart w:id="7" w:name="_Toc38985263"/>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szCs w:val="21"/>
          <w:highlight w:val="none"/>
          <w:lang w:eastAsia="zh-CN"/>
        </w:rPr>
        <w:t xml:space="preserve">JSZC-321000-SWGC-G2025-0237</w:t>
      </w:r>
      <w:r>
        <w:rPr>
          <w:rFonts w:hint="eastAsia" w:ascii="宋体" w:hAnsi="宋体" w:cs="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江苏省苏北人民医院智慧病房项目建设（二次）</w:t>
      </w:r>
      <w:bookmarkEnd w:id="8"/>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3.预算金额：人民币498万元。</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4.本项目</w:t>
      </w:r>
      <w:r>
        <w:rPr>
          <w:rFonts w:hint="eastAsia" w:ascii="宋体" w:hAnsi="宋体" w:cs="宋体"/>
          <w:color w:val="auto"/>
          <w:highlight w:val="none"/>
          <w:u w:val="single"/>
        </w:rPr>
        <w:t xml:space="preserve">设置</w:t>
      </w:r>
      <w:r>
        <w:rPr>
          <w:rFonts w:hint="eastAsia" w:ascii="宋体" w:hAnsi="宋体" w:cs="宋体"/>
          <w:color w:val="auto"/>
          <w:highlight w:val="none"/>
        </w:rPr>
        <w:t xml:space="preserve">最高限价：人民币498万元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投标报价超过最高限价作无效投标处理。</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进口产品投标。</w:t>
      </w:r>
      <w:r/>
    </w:p>
    <w:p>
      <w:pPr>
        <w:ind w:firstLine="422"/>
        <w:spacing w:line="360" w:lineRule="auto"/>
        <w:tabs>
          <w:tab w:val="left" w:pos="266" w:leader="none"/>
        </w:tabs>
        <w:rPr>
          <w:rFonts w:hint="eastAsia" w:ascii="宋体" w:hAnsi="宋体" w:cs="宋体"/>
          <w:b/>
          <w:bCs/>
          <w:color w:val="auto"/>
          <w:highlight w:val="none"/>
        </w:rPr>
      </w:pPr>
      <w:r/>
      <w:bookmarkStart w:id="9" w:name="_Toc35393791"/>
      <w:r/>
      <w:bookmarkStart w:id="10" w:name="_Toc35393622"/>
      <w:r/>
      <w:bookmarkStart w:id="11" w:name="_Toc38985264"/>
      <w:r/>
      <w:bookmarkStart w:id="12" w:name="_Toc28359080"/>
      <w:r/>
      <w:bookmarkStart w:id="13" w:name="_Toc28359003"/>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bookmarkStart w:id="14" w:name="_Toc38985265"/>
      <w:r/>
      <w:bookmarkStart w:id="15" w:name="_Toc35393792"/>
      <w:r/>
      <w:bookmarkStart w:id="16" w:name="_Toc35393623"/>
      <w:r/>
      <w:bookmarkStart w:id="17" w:name="_Toc28359004"/>
      <w:r/>
      <w:bookmarkStart w:id="18" w:name="_Toc28359081"/>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olor w:val="auto"/>
          <w:szCs w:val="21"/>
          <w:highlight w:val="none"/>
        </w:rPr>
        <w:t xml:space="preserve">无。</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color w:val="auto"/>
          <w:highlight w:val="none"/>
        </w:rPr>
      </w:pPr>
      <w:r/>
      <w:bookmarkStart w:id="19" w:name="_Toc28359005"/>
      <w:r/>
      <w:bookmarkStart w:id="20" w:name="_Toc28359082"/>
      <w:r/>
      <w:bookmarkStart w:id="21" w:name="_Toc35393624"/>
      <w:r/>
      <w:bookmarkStart w:id="22" w:name="_Toc35393793"/>
      <w:r/>
      <w:bookmarkStart w:id="23"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ff0000"/>
          <w:highlight w:val="none"/>
        </w:rPr>
        <w:t xml:space="preserve">2025年</w:t>
      </w:r>
      <w:r>
        <w:rPr>
          <w:rFonts w:hint="eastAsia" w:ascii="宋体" w:hAnsi="宋体" w:cs="宋体"/>
          <w:color w:val="ff0000"/>
          <w:highlight w:val="none"/>
          <w:lang w:val="en-US" w:eastAsia="zh-CN"/>
        </w:rPr>
        <w:t xml:space="preserve">12</w:t>
      </w:r>
      <w:r>
        <w:rPr>
          <w:rFonts w:hint="eastAsia" w:ascii="宋体" w:hAnsi="宋体" w:cs="宋体"/>
          <w:color w:val="ff0000"/>
          <w:highlight w:val="none"/>
        </w:rPr>
        <w:t xml:space="preserve">月</w:t>
      </w:r>
      <w:r>
        <w:rPr>
          <w:rFonts w:hint="eastAsia" w:ascii="宋体" w:hAnsi="宋体" w:cs="宋体"/>
          <w:color w:val="ff0000"/>
          <w:highlight w:val="none"/>
          <w:lang w:val="en-US" w:eastAsia="zh-CN"/>
        </w:rPr>
        <w:t xml:space="preserve">31</w:t>
      </w:r>
      <w:r>
        <w:rPr>
          <w:rFonts w:hint="eastAsia" w:ascii="宋体" w:hAnsi="宋体" w:cs="宋体"/>
          <w:color w:val="ff0000"/>
          <w:highlight w:val="none"/>
        </w:rPr>
        <w:t xml:space="preserve">日上午9:30 </w:t>
      </w:r>
      <w:r>
        <w:rPr>
          <w:rFonts w:hint="eastAsia" w:ascii="宋体" w:hAnsi="宋体" w:cs="宋体"/>
          <w:color w:val="auto"/>
          <w:highlight w:val="none"/>
        </w:rPr>
        <w:t xml:space="preserve">（北京时间）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spacing w:line="360" w:lineRule="auto"/>
        <w:tabs>
          <w:tab w:val="left" w:pos="266" w:leader="none"/>
        </w:tabs>
        <w:rPr>
          <w:rFonts w:hint="eastAsia" w:ascii="宋体" w:hAnsi="宋体" w:cs="宋体"/>
          <w:b/>
          <w:bCs/>
          <w:color w:val="auto"/>
          <w:highlight w:val="none"/>
        </w:rPr>
      </w:pPr>
      <w:r/>
      <w:bookmarkStart w:id="24" w:name="_Toc38985267"/>
      <w:r/>
      <w:bookmarkStart w:id="25" w:name="_Toc35393625"/>
      <w:r/>
      <w:bookmarkStart w:id="26" w:name="_Toc35393794"/>
      <w:r/>
      <w:bookmarkStart w:id="27" w:name="_Toc28359084"/>
      <w:r/>
      <w:bookmarkStart w:id="28" w:name="_Toc28359007"/>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color w:val="auto"/>
          <w:highlight w:val="none"/>
        </w:rPr>
      </w:pPr>
      <w:r/>
      <w:bookmarkStart w:id="29" w:name="_Toc35393626"/>
      <w:r/>
      <w:bookmarkStart w:id="30" w:name="_Toc38985268"/>
      <w:r/>
      <w:bookmarkStart w:id="31" w:name="_Toc35393795"/>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spacing w:line="360" w:lineRule="auto"/>
        <w:rPr>
          <w:rFonts w:hint="eastAsia" w:ascii="宋体" w:hAnsi="宋体" w:cs="宋体"/>
          <w:b/>
          <w:bCs/>
          <w:color w:val="auto"/>
          <w:highlight w:val="none"/>
        </w:rPr>
      </w:pPr>
      <w:r/>
      <w:bookmarkStart w:id="32" w:name="_Toc38985269"/>
      <w:r/>
      <w:bookmarkStart w:id="33" w:name="_Toc28359008"/>
      <w:r/>
      <w:bookmarkStart w:id="34" w:name="_Toc28359085"/>
      <w:r/>
      <w:bookmarkStart w:id="35" w:name="_Toc35393627"/>
      <w:r/>
      <w:bookmarkStart w:id="36"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江苏省苏北人民医院</w:t>
      </w:r>
      <w:r/>
    </w:p>
    <w:p>
      <w:pPr>
        <w:ind w:firstLine="420"/>
        <w:jc w:val="left"/>
        <w:spacing w:line="360" w:lineRule="auto"/>
        <w:rPr>
          <w:rFonts w:hint="eastAsia" w:ascii="宋体" w:hAnsi="宋体" w:cs="宋体"/>
          <w:color w:val="auto"/>
          <w:highlight w:val="none"/>
        </w:rPr>
      </w:pPr>
      <w:r/>
      <w:bookmarkStart w:id="39" w:name="_Toc28359086"/>
      <w:r/>
      <w:bookmarkStart w:id="40" w:name="_Toc28359009"/>
      <w:r>
        <w:rPr>
          <w:rFonts w:hint="eastAsia" w:ascii="宋体" w:hAnsi="宋体" w:cs="宋体"/>
          <w:color w:val="auto"/>
          <w:highlight w:val="none"/>
        </w:rPr>
        <w:t xml:space="preserve">地 址：扬州市广陵区南通西路98号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孙玉君</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0514-82129121</w:t>
      </w:r>
      <w:bookmarkEnd w:id="37"/>
      <w:r/>
      <w:bookmarkEnd w:id="38"/>
      <w:r/>
      <w:r/>
    </w:p>
    <w:p>
      <w:pPr>
        <w:pStyle w:val="955"/>
        <w:jc w:val="center"/>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757"/>
        <w:numPr>
          <w:ilvl w:val="0"/>
          <w:numId w:val="0"/>
        </w:numPr>
        <w:ind w:left="392"/>
        <w:rPr>
          <w:color w:val="auto"/>
          <w:highlight w:val="none"/>
        </w:rPr>
      </w:pPr>
      <w:r/>
      <w:bookmarkStart w:id="42" w:name="_Toc10032"/>
      <w:r>
        <w:rPr>
          <w:rFonts w:hint="eastAsia"/>
          <w:color w:val="auto"/>
          <w:highlight w:val="none"/>
        </w:rPr>
        <w:t xml:space="preserve">第二章 投标人须知</w:t>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JSZC-321000-SWGC-G2025-0237</w:t>
      </w:r>
      <w:r>
        <w:rPr>
          <w:rFonts w:hint="eastAsia" w:ascii="宋体" w:hAnsi="宋体" w:cs="宋体"/>
          <w:bCs/>
          <w:color w:val="auto"/>
          <w:szCs w:val="21"/>
          <w:highlight w:val="none"/>
        </w:rPr>
        <w:t xml:space="preserve">号项目。</w:t>
      </w:r>
      <w:r/>
    </w:p>
    <w:p>
      <w:pPr>
        <w:ind w:firstLine="422"/>
        <w:spacing w:line="440" w:lineRule="exact"/>
        <w:rPr>
          <w:rFonts w:eastAsiaTheme="minorEastAsia"/>
          <w:color w:val="auto"/>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16938541"/>
      <w:r/>
      <w:bookmarkStart w:id="44" w:name="_Toc513029225"/>
      <w:r/>
      <w:bookmarkStart w:id="45" w:name="_Toc462564084"/>
      <w:r/>
      <w:bookmarkStart w:id="46" w:name="_Toc20823297"/>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16938543"/>
      <w:r/>
      <w:bookmarkStart w:id="51" w:name="_Toc20823299"/>
      <w:r/>
      <w:bookmarkStart w:id="52" w:name="_Toc513029227"/>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20823300"/>
      <w:r/>
      <w:bookmarkStart w:id="54" w:name="_Toc16938544"/>
      <w:r/>
      <w:bookmarkStart w:id="55" w:name="_Toc513029228"/>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bookmarkStart w:id="56" w:name="_Hlk183094183"/>
      <w:r>
        <w:rPr>
          <w:rFonts w:hint="eastAsia" w:ascii="宋体" w:hAnsi="宋体" w:cs="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（本项目的核心产品为“普通病房床头分机”）</w:t>
      </w:r>
      <w:r>
        <w:rPr>
          <w:rFonts w:hint="eastAsia" w:ascii="宋体" w:hAnsi="宋体" w:cs="宋体"/>
          <w:bCs/>
          <w:color w:val="auto"/>
          <w:szCs w:val="21"/>
          <w:highlight w:val="none"/>
        </w:rPr>
        <w:t xml:space="preserve">。</w:t>
      </w:r>
      <w:bookmarkEnd w:id="56"/>
      <w:r>
        <w:rPr>
          <w:rFonts w:hint="eastAsia" w:ascii="宋体" w:hAnsi="宋体" w:cs="宋体"/>
          <w:bCs/>
          <w:color w:val="auto"/>
          <w:szCs w:val="21"/>
          <w:highlight w:val="none"/>
        </w:rPr>
        <w:t xml:space="preserve">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 异常低价投标（响应）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26.1.6.1投标（响应）报价低于采购项目预算 50% 的，即投标（响应）报价&lt;采购项目预算×50%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26.1.6.2投标（响应）报价低于采购项目最高限价 45% 的，即投标（响应）报价&lt;采购项目最高限价×45%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26.1.6.3评审委员会认定的供应商报价过低、有可能影响产品质量或者不能诚信履约的其他情形。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 </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32.2各投标人应在规定时间内凭CA证书进行网上解密。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57"/>
        <w:numPr>
          <w:ilvl w:val="0"/>
          <w:numId w:val="0"/>
        </w:numPr>
        <w:ind w:left="392"/>
        <w:rPr>
          <w:color w:val="auto"/>
          <w:highlight w:val="none"/>
        </w:rPr>
      </w:pPr>
      <w:r/>
      <w:bookmarkStart w:id="57" w:name="_Toc55204179"/>
      <w:r/>
      <w:bookmarkStart w:id="58" w:name="_Toc18427"/>
      <w:r/>
      <w:bookmarkStart w:id="59" w:name="_Hlk69392822"/>
      <w:r>
        <w:rPr>
          <w:rFonts w:hint="eastAsia"/>
          <w:color w:val="auto"/>
          <w:highlight w:val="none"/>
        </w:rPr>
        <w:t xml:space="preserve">第三章 合同条款及格式</w:t>
      </w:r>
      <w:bookmarkEnd w:id="57"/>
      <w:r/>
      <w:bookmarkEnd w:id="58"/>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6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r/>
    </w:p>
    <w:p>
      <w:pPr>
        <w:pStyle w:val="96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扬州市政府采购合同（合同编号）</w:t>
      </w:r>
      <w:r/>
    </w:p>
    <w:p>
      <w:pPr>
        <w:pStyle w:val="967"/>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江苏省苏北人民医院智慧病房项目建设（二次）</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JSZC-321000-SWGC-G2025-0237</w:t>
      </w:r>
      <w:r>
        <w:rPr>
          <w:rFonts w:hint="eastAsia" w:hAnsi="宋体" w:cs="宋体"/>
          <w:color w:val="auto"/>
          <w:sz w:val="21"/>
          <w:highlight w:val="none"/>
        </w:rPr>
        <w:t xml:space="preserve">号</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甲方：（买方）江苏省苏北人民医院</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甲、乙双方根据江苏苏维工程管理有限公司</w:t>
      </w:r>
      <w:r>
        <w:rPr>
          <w:rFonts w:hint="eastAsia" w:hAnsi="宋体" w:cs="宋体"/>
          <w:color w:val="auto"/>
          <w:sz w:val="21"/>
          <w:highlight w:val="none"/>
          <w:u w:val="single"/>
        </w:rPr>
        <w:t xml:space="preserve">           </w:t>
      </w:r>
      <w:r>
        <w:rPr>
          <w:rFonts w:hint="eastAsia" w:hAnsi="宋体" w:cs="宋体"/>
          <w:color w:val="auto"/>
          <w:sz w:val="21"/>
          <w:highlight w:val="none"/>
        </w:rPr>
        <w:t xml:space="preserve">项目公开招标的结果，签署本合同。</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一、货物及伴随服务</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 货物及服务名称：</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 型号规格：</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 数量（单位）</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本合同金额为（大写）：_____________圆（_______________元）人民币。</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3.1乙方应按招标文件规定的时间向甲方提供使用货物及服务的有关技术资料。</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乙方保证所交付的货物及服务的所有权完全属于乙方且无任何抵押、查封等产权瑕疵。</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6.4 履约保证金收取：</w:t>
      </w:r>
      <w:r>
        <w:rPr>
          <w:rFonts w:hint="eastAsia" w:hAnsi="宋体" w:cs="宋体"/>
          <w:color w:val="auto"/>
          <w:sz w:val="21"/>
          <w:highlight w:val="none"/>
          <w:u w:val="single"/>
        </w:rPr>
        <w:t xml:space="preserve">无</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7.1本合同范围的货物及服务，应由乙方直接供应，不得转让他人供应；</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八、质保期</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8.1 质保期</w:t>
      </w:r>
      <w:r>
        <w:rPr>
          <w:rFonts w:hint="eastAsia" w:hAnsi="宋体" w:cs="宋体"/>
          <w:color w:val="auto"/>
          <w:sz w:val="21"/>
          <w:highlight w:val="none"/>
          <w:u w:val="single"/>
        </w:rPr>
        <w:t xml:space="preserve">    </w:t>
      </w:r>
      <w:r>
        <w:rPr>
          <w:rFonts w:hint="eastAsia" w:hAnsi="宋体" w:cs="宋体"/>
          <w:color w:val="auto"/>
          <w:sz w:val="21"/>
          <w:highlight w:val="none"/>
        </w:rPr>
        <w:t xml:space="preserve">年。（自交货验收合格之日起计）</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967"/>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9.1 交付期：</w:t>
      </w:r>
      <w:r>
        <w:rPr>
          <w:rFonts w:hint="eastAsia" w:hAnsi="宋体" w:cs="宋体"/>
          <w:color w:val="auto"/>
          <w:sz w:val="21"/>
          <w:highlight w:val="none"/>
          <w:u w:val="single"/>
        </w:rPr>
        <w:t xml:space="preserve">            </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9.2 交付方式：</w:t>
      </w:r>
      <w:r>
        <w:rPr>
          <w:rFonts w:hint="eastAsia" w:hAnsi="宋体" w:cs="宋体"/>
          <w:color w:val="auto"/>
          <w:sz w:val="21"/>
          <w:highlight w:val="none"/>
          <w:u w:val="single"/>
        </w:rPr>
        <w:t xml:space="preserve">甲方指定方式</w:t>
      </w:r>
      <w:r/>
    </w:p>
    <w:p>
      <w:pPr>
        <w:pStyle w:val="967"/>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9.3 交付地点：</w:t>
      </w:r>
      <w:r>
        <w:rPr>
          <w:rFonts w:hint="eastAsia" w:hAnsi="宋体" w:cs="宋体"/>
          <w:color w:val="auto"/>
          <w:sz w:val="21"/>
          <w:highlight w:val="none"/>
          <w:u w:val="single"/>
        </w:rPr>
        <w:t xml:space="preserve">甲方指定地点</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96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合同签订后，乙方向甲方开具发票，甲方自收到发票之日起10个工作日内支付合同总价30%的预付款；</w:t>
      </w:r>
      <w:r/>
    </w:p>
    <w:p>
      <w:pPr>
        <w:pStyle w:val="96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设备安装调试后，乙方向甲方开具发票，甲方自收到发票之日起10个工作日内支付合同总价的60%；</w:t>
      </w:r>
      <w:r/>
    </w:p>
    <w:p>
      <w:pPr>
        <w:pStyle w:val="96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一年后，乙方向甲方开具发票，甲方自接到发票之日起10个工作日内付清尾款。</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十一、税费</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12.1 乙方应按招标文件规定的货物及服务性能、技术要求、质量标准向甲方提供。</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⑶退还处理：乙方应退还甲方支付的合同款，同时应承担该货物及服务的直接费用（运输、保险、检验、款项利息及银行手续费等）。</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w:t>
      </w:r>
      <w:r>
        <w:rPr>
          <w:rFonts w:hint="eastAsia" w:hAnsi="宋体" w:cs="宋体"/>
          <w:color w:val="auto"/>
          <w:sz w:val="21"/>
          <w:highlight w:val="none"/>
          <w:u w:val="single"/>
        </w:rPr>
        <w:t xml:space="preserve">   </w:t>
      </w:r>
      <w:r>
        <w:rPr>
          <w:rFonts w:hint="eastAsia" w:hAnsi="宋体" w:cs="宋体"/>
          <w:color w:val="auto"/>
          <w:sz w:val="21"/>
          <w:highlight w:val="none"/>
        </w:rPr>
        <w:t xml:space="preserve">小时内到达甲方现场。</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12.4 在质保期内，乙方应对货物及服务出现的质量及安全问题负责处理解决并承担一切费用。</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12.5上述的货物及服务免费保修期为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十三、调试和验收</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13.4 对技术复杂的货物及服务，甲方可请国家认可的专业检测机构参与初步验收及最终验收，并由其出具质量检测报告。</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十四、货物及服务包装、发运及运输</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14.3 乙方在货物及服务发运手续办理完毕后24小时内或交付到甲方48小时前通知甲方，以准备接受交付。</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14.4 货物在交付甲方前发生的风险均由乙方负责。</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14.5 货物及服务在规定的交付期限内由乙方送达甲方指定的地点视为交付，乙方同时需通知甲方货物及服务已送达。</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十五、违约责任</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15.1 甲方无正当理由拒收货物及服务的，甲方向乙方偿付拒收款项总值的百分之五违约金。</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15.5 因乙方所提供产品的安装、调试或运行，对甲方病区的医疗秩序、环境卫生、患者安全或设备设施造成重大不利影响的，视为乙方违约。甲方有权单方解除本合同，并要求乙方承担由此给甲方造成的全部直接和间接损失，包括但不限于甲方为处理该影响所支出的费用、对第三方的赔偿、以及甲方因此遭受的预期利益损失。</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十七、诉讼</w:t>
      </w:r>
      <w:r/>
    </w:p>
    <w:p>
      <w:pPr>
        <w:pStyle w:val="96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pStyle w:val="96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十九、合同生效及其它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 合同经双方法定代表人签章并加盖单位公章后生效。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19.2本合同未尽事宜，遵照《中华人民共和国民法典》有关条文执行。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19.3 本合同正本一式四份，具有同等法律效力，甲方、乙方各执两份。  </w:t>
      </w:r>
      <w:r/>
    </w:p>
    <w:tbl>
      <w:tblPr>
        <w:tblStyle w:val="767"/>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甲方：江苏省苏北人民医院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tc>
      </w:tr>
    </w:tbl>
    <w:p>
      <w:pPr>
        <w:ind w:left="420" w:firstLine="420"/>
        <w:rPr>
          <w:rFonts w:hint="eastAsia" w:ascii="宋体" w:hAnsi="宋体" w:cs="宋体"/>
          <w:color w:val="auto"/>
          <w:highlight w:val="none"/>
        </w:rPr>
      </w:pPr>
      <w:r>
        <w:rPr>
          <w:rFonts w:hint="eastAsia" w:ascii="宋体" w:hAnsi="宋体" w:cs="宋体"/>
          <w:color w:val="auto"/>
          <w:highlight w:val="none"/>
        </w:rPr>
        <w:br w:type="page" w:clear="all"/>
      </w:r>
      <w:bookmarkEnd w:id="59"/>
      <w:r/>
      <w:r/>
    </w:p>
    <w:p>
      <w:pPr>
        <w:pStyle w:val="757"/>
        <w:numPr>
          <w:ilvl w:val="0"/>
          <w:numId w:val="5"/>
        </w:numPr>
        <w:ind w:left="0"/>
        <w:rPr>
          <w:color w:val="auto"/>
          <w:highlight w:val="none"/>
        </w:rPr>
      </w:pPr>
      <w:r/>
      <w:bookmarkStart w:id="60" w:name="_Toc12506"/>
      <w:r>
        <w:rPr>
          <w:rFonts w:hint="eastAsia"/>
          <w:color w:val="auto"/>
          <w:highlight w:val="none"/>
        </w:rPr>
        <w:t xml:space="preserve">项目需求</w:t>
      </w:r>
      <w:bookmarkEnd w:id="60"/>
      <w:r/>
      <w:r/>
    </w:p>
    <w:p>
      <w:pPr>
        <w:ind w:firstLine="420"/>
        <w:spacing w:line="360" w:lineRule="auto"/>
        <w:rPr>
          <w:rFonts w:hint="eastAsia" w:ascii="宋体" w:hAnsi="宋体" w:cs="宋体"/>
          <w:b/>
          <w:bCs/>
          <w:color w:val="auto"/>
          <w:highlight w:val="none"/>
        </w:rPr>
      </w:pPr>
      <w:r/>
      <w:bookmarkStart w:id="61" w:name="_Toc319408306"/>
      <w:r>
        <w:rPr>
          <w:rFonts w:hint="eastAsia" w:ascii="宋体" w:hAnsi="宋体" w:cs="宋体"/>
          <w:b/>
          <w:bCs/>
          <w:color w:val="auto"/>
          <w:highlight w:val="none"/>
        </w:rPr>
        <w:t xml:space="preserve">注：</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61"/>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57"/>
        <w:numPr>
          <w:ilvl w:val="0"/>
          <w:numId w:val="0"/>
        </w:numPr>
        <w:ind w:firstLine="420"/>
        <w:jc w:val="both"/>
        <w:rPr>
          <w:color w:val="auto"/>
          <w:sz w:val="21"/>
          <w:szCs w:val="21"/>
          <w:highlight w:val="none"/>
        </w:rPr>
      </w:pPr>
      <w:r>
        <w:rPr>
          <w:rFonts w:hint="eastAsia" w:ascii="宋体" w:hAnsi="宋体" w:cs="宋体"/>
          <w:bCs/>
          <w:color w:val="auto"/>
          <w:sz w:val="21"/>
          <w:szCs w:val="21"/>
          <w:highlight w:val="none"/>
        </w:rPr>
        <w:t xml:space="preserve">一、</w:t>
      </w:r>
      <w:r>
        <w:rPr>
          <w:rFonts w:hint="eastAsia"/>
          <w:color w:val="auto"/>
          <w:sz w:val="21"/>
          <w:szCs w:val="21"/>
          <w:highlight w:val="none"/>
        </w:rPr>
        <w:t xml:space="preserve">智慧病房系统建设要求</w:t>
      </w:r>
      <w:r/>
    </w:p>
    <w:p>
      <w:pPr>
        <w:ind w:firstLine="420"/>
        <w:spacing w:line="360" w:lineRule="auto"/>
        <w:rPr>
          <w:rFonts w:hint="eastAsia" w:ascii="宋体" w:hAnsi="宋体"/>
          <w:color w:val="auto"/>
          <w:sz w:val="22"/>
          <w:szCs w:val="24"/>
          <w:highlight w:val="none"/>
        </w:rPr>
      </w:pPr>
      <w:r>
        <w:rPr>
          <w:rFonts w:hint="eastAsia" w:ascii="宋体" w:hAnsi="宋体"/>
          <w:color w:val="auto"/>
          <w:szCs w:val="21"/>
          <w:highlight w:val="none"/>
        </w:rPr>
        <w:t xml:space="preserve">按照江苏省卫健委《江苏省推进卫生健康领域设备更新实施方案》、市政府《扬州市推动大规模设备更新和消费品以旧换新实施方案》精神，为推进智慧医院信息化内涵建设，我院拟对位于南通西路98号院区的现有病房进行智慧化升级改造。本次升级改造共包括47个病区,其中普通病区39个,包含医护主机、床头分机、门口分机、卫生间按钮、走廊显示屏、无线呼叫分机等；ICU病区共6个，包含ICU床头分机、悬臂支架等设备；智慧示范病区2个，除普通病区内容外，还包含AI输液识别系统、输液控制设备。</w:t>
      </w:r>
      <w:r/>
    </w:p>
    <w:p>
      <w:pPr>
        <w:pStyle w:val="757"/>
        <w:numPr>
          <w:ilvl w:val="0"/>
          <w:numId w:val="0"/>
        </w:numPr>
        <w:ind w:firstLine="420"/>
        <w:jc w:val="both"/>
        <w:rPr>
          <w:color w:val="auto"/>
          <w:sz w:val="21"/>
          <w:szCs w:val="21"/>
          <w:highlight w:val="none"/>
        </w:rPr>
      </w:pPr>
      <w:r>
        <w:rPr>
          <w:rFonts w:hint="eastAsia" w:ascii="Calibri" w:hAnsi="Calibri" w:cs="Calibri"/>
          <w:bCs/>
          <w:color w:val="auto"/>
          <w:sz w:val="21"/>
          <w:szCs w:val="21"/>
          <w:highlight w:val="none"/>
        </w:rPr>
        <w:t xml:space="preserve">二、</w:t>
      </w:r>
      <w:r>
        <w:rPr>
          <w:rFonts w:hint="eastAsia"/>
          <w:color w:val="auto"/>
          <w:sz w:val="21"/>
          <w:szCs w:val="21"/>
          <w:highlight w:val="none"/>
        </w:rPr>
        <w:t xml:space="preserve">项目具体要求</w:t>
      </w:r>
      <w:r/>
    </w:p>
    <w:p>
      <w:pPr>
        <w:pStyle w:val="758"/>
        <w:numPr>
          <w:ilvl w:val="1"/>
          <w:numId w:val="0"/>
        </w:numPr>
        <w:ind w:firstLine="420"/>
        <w:spacing w:before="0" w:after="0"/>
        <w:rPr>
          <w:rFonts w:eastAsia="宋体"/>
          <w:color w:val="auto"/>
          <w:sz w:val="21"/>
          <w:szCs w:val="21"/>
          <w:highlight w:val="none"/>
        </w:rPr>
      </w:pPr>
      <w:r>
        <w:rPr>
          <w:rFonts w:ascii="Times New Roman" w:hAnsi="Times New Roman" w:eastAsia="宋体" w:cs="Times New Roman"/>
          <w:color w:val="auto"/>
          <w:sz w:val="21"/>
          <w:szCs w:val="21"/>
          <w:highlight w:val="none"/>
        </w:rPr>
        <w:t xml:space="preserve">1.1</w:t>
      </w:r>
      <w:r>
        <w:rPr>
          <w:rFonts w:hint="eastAsia" w:ascii="Times New Roman" w:hAnsi="Times New Roman" w:eastAsia="宋体" w:cs="Times New Roman"/>
          <w:color w:val="auto"/>
          <w:sz w:val="21"/>
          <w:szCs w:val="21"/>
          <w:highlight w:val="none"/>
        </w:rPr>
        <w:t xml:space="preserve">系统</w:t>
      </w:r>
      <w:r>
        <w:rPr>
          <w:rFonts w:hint="eastAsia" w:eastAsia="宋体"/>
          <w:color w:val="auto"/>
          <w:sz w:val="21"/>
          <w:szCs w:val="21"/>
          <w:highlight w:val="none"/>
        </w:rPr>
        <w:t xml:space="preserve">要求</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1.主机、床头分机、门口分机核心终端使用Android操作系统，具有良好的扩展性，具有多种通讯连接功能，支持后续功能扩展服务，实现数据的实时同传共享。</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主机、床头分机、门口分机等核心终端使用高清液晶屏幕，系统使用专用终端而非民用电话机进行语音沟通。当服务器宕机时，核心通话对讲功能不受影响。系统借助门口分机集成的门灯闪烁来提示呼叫发出房间。</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3.系统应采用B/S体系结构，通过不同用户的管理权限，可对系统后台进行管理操作，各个功能模块可统一管理或分权限独立管理。</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系统的安装实施必须简单方便。可通过管理软件远程对单种设备的固件程序进行整体更新实施，确保系统易维护性。设备部署的实施过程中除实施的设备本身外，其他所有设备均可正常工作。硬件部署过程中，应保证诊疗的连续性，尽可能地减少对住院患者的干扰。</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系统应支持软硬件定制开发，并可对接涉及患者基本信息、生命体征、病历资料等的软件、硬件设备。</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数据安全</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6.2支持用户操作权限分级管理，能够根据不同角色对用户进行权限配置和管理，保证系统数据安全。</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6.3支持数据加密管理，包括数据存储加密、数据传输加密等，保证用户信息和系统业务数据的安全。</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6.4严格遵循计算机等级保护标准的要求，使系统在网络、应用、数据信息等多层面获得有力的安全。</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6.5具备数据备份与恢复功能，提供数据库保障，并采用业界成熟的安全技术，切实保证系统不被破坏、数据不泄密。信息安全等级保护标准达到三级要求，具备在线备份和故障恢复工具，保障数据库系统完全故障后能迅速恢复到故障前状态。</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6.6具有完备的日志记录和管理功能，能及时准确地记录用户登录与退出、业务操作、数据同步等各类日志，支持根据时间、操作类型、关键字等进行日志内容检索，为系统故障排查和系统数据安全提供保障。</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6.7满足《中华人民共和国网络安全法》《中华人民共和国数据安全法》《中华人民共和国个人信息保护法》等法律法规。</w:t>
      </w:r>
      <w:r/>
    </w:p>
    <w:p>
      <w:pPr>
        <w:pStyle w:val="81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运维服务要求：</w:t>
      </w:r>
      <w:r/>
    </w:p>
    <w:p>
      <w:pPr>
        <w:pStyle w:val="816"/>
        <w:ind w:left="0" w:firstLine="420"/>
        <w:spacing w:line="360" w:lineRule="auto"/>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7.1服务期限和要求</w:t>
      </w:r>
      <w:r>
        <w:rPr>
          <w:rFonts w:ascii="宋体" w:hAnsi="宋体" w:cs="宋体"/>
          <w:color w:val="auto"/>
          <w:szCs w:val="21"/>
          <w:highlight w:val="none"/>
        </w:rPr>
        <w:t xml:space="preserve">：</w:t>
      </w:r>
      <w:r>
        <w:rPr>
          <w:rFonts w:hint="eastAsia" w:ascii="宋体" w:hAnsi="宋体" w:cs="宋体"/>
          <w:b/>
          <w:bCs/>
          <w:i/>
          <w:iCs/>
          <w:color w:val="auto"/>
          <w:szCs w:val="21"/>
          <w:highlight w:val="none"/>
          <w:u w:val="single"/>
        </w:rPr>
        <w:t xml:space="preserve">投标人需提供</w:t>
      </w:r>
      <w:r>
        <w:rPr>
          <w:rFonts w:ascii="宋体" w:hAnsi="宋体" w:cs="宋体"/>
          <w:b/>
          <w:bCs/>
          <w:i/>
          <w:iCs/>
          <w:color w:val="auto"/>
          <w:szCs w:val="21"/>
          <w:highlight w:val="none"/>
          <w:u w:val="single"/>
        </w:rPr>
        <w:t xml:space="preserve">5年</w:t>
      </w:r>
      <w:r>
        <w:rPr>
          <w:rFonts w:hint="eastAsia" w:ascii="宋体" w:hAnsi="宋体" w:cs="宋体"/>
          <w:b/>
          <w:bCs/>
          <w:i/>
          <w:iCs/>
          <w:color w:val="auto"/>
          <w:szCs w:val="21"/>
          <w:highlight w:val="none"/>
          <w:u w:val="single"/>
        </w:rPr>
        <w:t xml:space="preserve">免费软硬件质保服务和人员</w:t>
      </w:r>
      <w:r>
        <w:rPr>
          <w:rFonts w:ascii="宋体" w:hAnsi="宋体" w:cs="宋体"/>
          <w:b/>
          <w:bCs/>
          <w:i/>
          <w:iCs/>
          <w:color w:val="auto"/>
          <w:szCs w:val="21"/>
          <w:highlight w:val="none"/>
          <w:u w:val="single"/>
        </w:rPr>
        <w:t xml:space="preserve">驻场服务</w:t>
      </w:r>
      <w:r>
        <w:rPr>
          <w:rFonts w:hint="eastAsia" w:ascii="宋体" w:hAnsi="宋体" w:cs="宋体"/>
          <w:b/>
          <w:bCs/>
          <w:i/>
          <w:iCs/>
          <w:color w:val="auto"/>
          <w:szCs w:val="21"/>
          <w:highlight w:val="none"/>
          <w:u w:val="single"/>
        </w:rPr>
        <w:t xml:space="preserve">；（提供承诺函加盖投标人公章，上传系统，承诺函格式自拟）</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驻场人员不少于1人，具体人数由投标人视项目实施情况投入。</w:t>
      </w:r>
      <w:r/>
    </w:p>
    <w:p>
      <w:pPr>
        <w:pStyle w:val="81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7.2系统稳定性与故障响应：确保智慧病房系统24小时*7天稳定运行，实时监控各项关键指标，建立快速响应机制，对系统故障进行即时诊断与修复，确保响应时间不超过预定标准</w:t>
      </w:r>
      <w:r>
        <w:rPr>
          <w:rFonts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7.3数据安全与隐私保护：实施严格的数据加密、备份与恢复策略，确保患者数据的安全性和完整性；遵守相关法律法规，加强隐私保护措施，防止患者个人信息泄露</w:t>
      </w:r>
      <w:r>
        <w:rPr>
          <w:rFonts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7.4设备维护与管理：定期对智慧病房内的医疗设备、智能终端、网络设施等进行巡检与维护，预防设备故障；管理设备生命周期，包括设备更新、报废及替换计划。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7.5技术支持与培训：提供全天候技术支持服务，解决医护人员在使用过程中遇到的问题；定期为医护人员提供智慧病房系统操作、维护等方面的培训，提升使用效率。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7.8软件升级与功能优化：跟踪行业最新技术动态，定期对智慧病房软件进行升级，引入新功能；根据用户反馈和需求，对系统进行功能优化和界面改进，提升用户体验。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7.9报告与评估：定期生成运维服务报告，包括系统运行状态、故障处理记录、数据安全审计等；对运维服务效果进行评估，收集用户反馈，不断优化运维策略和服务质量</w:t>
      </w:r>
      <w:r>
        <w:rPr>
          <w:rFonts w:ascii="宋体" w:hAnsi="宋体" w:cs="宋体"/>
          <w:color w:val="auto"/>
          <w:szCs w:val="21"/>
          <w:highlight w:val="none"/>
        </w:rPr>
        <w:t xml:space="preserve">。</w:t>
      </w:r>
      <w:r/>
    </w:p>
    <w:p>
      <w:pPr>
        <w:jc w:val="cente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苏北人民医院</w:t>
      </w:r>
      <w:r>
        <w:rPr>
          <w:rFonts w:hint="eastAsia" w:ascii="Times New Roman" w:hAnsi="Times New Roman"/>
          <w:b/>
          <w:bCs/>
          <w:color w:val="auto"/>
          <w:szCs w:val="21"/>
          <w:highlight w:val="none"/>
        </w:rPr>
        <w:t xml:space="preserve">智慧病房</w:t>
      </w:r>
      <w:r>
        <w:rPr>
          <w:rFonts w:ascii="Times New Roman" w:hAnsi="Times New Roman"/>
          <w:b/>
          <w:bCs/>
          <w:color w:val="auto"/>
          <w:szCs w:val="21"/>
          <w:highlight w:val="none"/>
        </w:rPr>
        <w:t xml:space="preserve">所需产品清单</w:t>
      </w:r>
      <w:r/>
    </w:p>
    <w:tbl>
      <w:tblPr>
        <w:tblStyle w:val="767"/>
        <w:tblW w:w="7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162"/>
        <w:gridCol w:w="3325"/>
        <w:gridCol w:w="825"/>
        <w:gridCol w:w="1255"/>
      </w:tblGrid>
      <w:tr>
        <w:trPr>
          <w:jc w:val="center"/>
          <w:trHeight w:val="400"/>
        </w:trPr>
        <w:tc>
          <w:tcPr>
            <w:tcW w:w="86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序号</w:t>
            </w:r>
            <w:r/>
          </w:p>
        </w:tc>
        <w:tc>
          <w:tcPr>
            <w:tcW w:w="1162"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类型</w:t>
            </w:r>
            <w:r/>
          </w:p>
        </w:tc>
        <w:tc>
          <w:tcPr>
            <w:tcW w:w="332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产品名称</w:t>
            </w:r>
            <w:r/>
          </w:p>
        </w:tc>
        <w:tc>
          <w:tcPr>
            <w:tcW w:w="82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单位</w:t>
            </w:r>
            <w:r/>
          </w:p>
        </w:tc>
        <w:tc>
          <w:tcPr>
            <w:tcW w:w="125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预估</w:t>
            </w:r>
            <w:r>
              <w:rPr>
                <w:rFonts w:ascii="Times New Roman" w:hAnsi="Times New Roman"/>
                <w:b/>
                <w:bCs/>
                <w:color w:val="auto"/>
                <w:szCs w:val="21"/>
                <w:highlight w:val="none"/>
              </w:rPr>
              <w:t xml:space="preserve">数量</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1162" w:type="dxa"/>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软件部分</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第三方接口费</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项</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普通病区通用硬件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47</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普通病房床头分机</w:t>
            </w:r>
            <w:r>
              <w:rPr>
                <w:rFonts w:hint="eastAsia" w:ascii="Times New Roman" w:hAnsi="Times New Roman"/>
                <w:b/>
                <w:bCs/>
                <w:color w:val="auto"/>
                <w:szCs w:val="21"/>
                <w:highlight w:val="none"/>
              </w:rPr>
              <w:t xml:space="preserve">（核心产品）</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2032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831</w:t>
            </w:r>
            <w:r/>
          </w:p>
        </w:tc>
      </w:tr>
      <w:tr>
        <w:trPr>
          <w:jc w:val="center"/>
          <w:trHeight w:val="508"/>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993</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94</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IC卡</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张</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94</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个</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490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55</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ICU病区硬件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智慧示范病区专用硬件软件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825" w:type="dxa"/>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825" w:type="dxa"/>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1162"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3325" w:type="dxa"/>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施工辅材（含交换机、施工、辅材等，需满足系统设备的使用需求）</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bl>
    <w:p>
      <w:pPr>
        <w:jc w:val="center"/>
        <w:spacing w:line="360" w:lineRule="auto"/>
        <w:widowControl/>
        <w:rPr>
          <w:rFonts w:ascii="Times New Roman" w:hAnsi="Times New Roman"/>
          <w:b/>
          <w:bCs/>
          <w:color w:val="ff0000"/>
          <w:szCs w:val="21"/>
          <w:highlight w:val="none"/>
        </w:rPr>
      </w:pPr>
      <w:r>
        <w:rPr>
          <w:rFonts w:hint="eastAsia" w:ascii="Times New Roman" w:hAnsi="Times New Roman"/>
          <w:b/>
          <w:bCs/>
          <w:color w:val="ff0000"/>
          <w:szCs w:val="21"/>
          <w:highlight w:val="none"/>
        </w:rPr>
        <w:t xml:space="preserve">施工辅材</w:t>
      </w:r>
      <w:r>
        <w:rPr>
          <w:rFonts w:hint="eastAsia" w:ascii="Times New Roman" w:hAnsi="Times New Roman"/>
          <w:b/>
          <w:bCs/>
          <w:color w:val="ff0000"/>
          <w:szCs w:val="21"/>
          <w:highlight w:val="none"/>
          <w:lang w:val="en-US" w:eastAsia="zh-CN"/>
        </w:rPr>
        <w:t xml:space="preserve">中交</w:t>
      </w:r>
      <w:r>
        <w:rPr>
          <w:rFonts w:hint="eastAsia" w:ascii="Times New Roman" w:hAnsi="Times New Roman"/>
          <w:b/>
          <w:bCs/>
          <w:color w:val="ff0000"/>
          <w:szCs w:val="21"/>
          <w:highlight w:val="none"/>
        </w:rPr>
        <w:t xml:space="preserve">换机</w:t>
      </w:r>
      <w:r>
        <w:rPr>
          <w:rFonts w:hint="eastAsia" w:ascii="Times New Roman" w:hAnsi="Times New Roman"/>
          <w:b/>
          <w:bCs/>
          <w:color w:val="ff0000"/>
          <w:szCs w:val="21"/>
          <w:highlight w:val="none"/>
          <w:lang w:val="en-US" w:eastAsia="zh-CN"/>
        </w:rPr>
        <w:t xml:space="preserve">预估数量</w:t>
      </w:r>
      <w:r/>
    </w:p>
    <w:tbl>
      <w:tblPr>
        <w:tblStyle w:val="794"/>
        <w:tblW w:w="4393" w:type="pct"/>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97"/>
        <w:gridCol w:w="3368"/>
        <w:gridCol w:w="975"/>
        <w:gridCol w:w="1149"/>
      </w:tblGrid>
      <w:tr>
        <w:trPr/>
        <w:tc>
          <w:tcPr>
            <w:tcW w:w="600"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序号</w:t>
            </w:r>
            <w:r/>
          </w:p>
        </w:tc>
        <w:tc>
          <w:tcPr>
            <w:tcW w:w="732"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产品名称</w:t>
            </w:r>
            <w:r/>
          </w:p>
        </w:tc>
        <w:tc>
          <w:tcPr>
            <w:tcW w:w="2248"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产品参数</w:t>
            </w:r>
            <w:r/>
          </w:p>
        </w:tc>
        <w:tc>
          <w:tcPr>
            <w:tcW w:w="651"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单位</w:t>
            </w:r>
            <w:r/>
          </w:p>
        </w:tc>
        <w:tc>
          <w:tcPr>
            <w:tcW w:w="767"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预估数量</w:t>
            </w:r>
            <w:r/>
          </w:p>
        </w:tc>
      </w:tr>
      <w:tr>
        <w:trPr/>
        <w:tc>
          <w:tcPr>
            <w:tcW w:w="600"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1</w:t>
            </w:r>
            <w:r/>
          </w:p>
        </w:tc>
        <w:tc>
          <w:tcPr>
            <w:tcW w:w="732"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 w:val="21"/>
                <w:szCs w:val="21"/>
                <w:highlight w:val="none"/>
              </w:rPr>
              <w:t xml:space="preserve">4</w:t>
            </w:r>
            <w:r>
              <w:rPr>
                <w:rFonts w:hint="eastAsia" w:ascii="Times New Roman" w:hAnsi="Times New Roman"/>
                <w:color w:val="ff0000"/>
                <w:sz w:val="21"/>
                <w:szCs w:val="21"/>
                <w:highlight w:val="none"/>
                <w:lang w:val="en-US" w:eastAsia="zh-CN"/>
              </w:rPr>
              <w:t xml:space="preserve">8</w:t>
            </w:r>
            <w:r>
              <w:rPr>
                <w:rFonts w:hint="eastAsia" w:ascii="Times New Roman" w:hAnsi="Times New Roman"/>
                <w:color w:val="ff0000"/>
                <w:sz w:val="21"/>
                <w:szCs w:val="21"/>
                <w:highlight w:val="none"/>
              </w:rPr>
              <w:t xml:space="preserve">口POE交换机</w:t>
            </w:r>
            <w:r/>
          </w:p>
        </w:tc>
        <w:tc>
          <w:tcPr>
            <w:tcW w:w="2248" w:type="pct"/>
            <w:textDirection w:val="lrTb"/>
            <w:noWrap w:val="false"/>
          </w:tcPr>
          <w:p>
            <w:pPr>
              <w:numPr>
                <w:ilvl w:val="0"/>
                <w:numId w:val="7"/>
              </w:numP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48个10/100/1000Base-T以太网端口；</w:t>
            </w:r>
            <w:r/>
          </w:p>
          <w:p>
            <w:pPr>
              <w:numPr>
                <w:ilvl w:val="0"/>
                <w:numId w:val="7"/>
              </w:numPr>
              <w:ind w:left="0" w:firstLine="0"/>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无阻塞高速转发，包转发率≥30Mpps；</w:t>
            </w:r>
            <w:r/>
          </w:p>
          <w:p>
            <w:pPr>
              <w:numPr>
                <w:ilvl w:val="0"/>
                <w:numId w:val="7"/>
              </w:numPr>
              <w:ind w:left="0" w:firstLine="0"/>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支持DHCP相关功能；</w:t>
            </w:r>
            <w:r/>
          </w:p>
          <w:p>
            <w:pPr>
              <w:numPr>
                <w:ilvl w:val="0"/>
                <w:numId w:val="7"/>
              </w:numPr>
              <w:ind w:left="0" w:firstLine="0"/>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支持MAC和IP绑定；</w:t>
            </w:r>
            <w:r/>
          </w:p>
          <w:p>
            <w:pPr>
              <w:numPr>
                <w:ilvl w:val="0"/>
                <w:numId w:val="7"/>
              </w:numPr>
              <w:ind w:left="0" w:firstLine="0"/>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支持MAC地址过滤和端口过滤；</w:t>
            </w:r>
            <w:r/>
          </w:p>
          <w:p>
            <w:pP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6</w:t>
            </w:r>
            <w:r>
              <w:rPr>
                <w:rFonts w:hint="eastAsia" w:ascii="Times New Roman" w:hAnsi="Times New Roman"/>
                <w:color w:val="ff0000"/>
                <w:szCs w:val="21"/>
                <w:highlight w:val="none"/>
                <w:lang w:val="en-US" w:eastAsia="zh-CN"/>
              </w:rPr>
              <w:t xml:space="preserve">.</w:t>
            </w:r>
            <w:r>
              <w:rPr>
                <w:rFonts w:hint="eastAsia" w:ascii="Times New Roman" w:hAnsi="Times New Roman"/>
                <w:color w:val="ff0000"/>
                <w:szCs w:val="21"/>
                <w:highlight w:val="none"/>
              </w:rPr>
              <w:t xml:space="preserve">支持POE供电，支持802.3at。</w:t>
            </w:r>
            <w:r/>
          </w:p>
        </w:tc>
        <w:tc>
          <w:tcPr>
            <w:tcW w:w="651" w:type="pct"/>
            <w:textDirection w:val="lrTb"/>
            <w:noWrap w:val="false"/>
          </w:tcPr>
          <w:p>
            <w:pPr>
              <w:jc w:val="center"/>
              <w:spacing w:line="360" w:lineRule="auto"/>
              <w:widowControl/>
              <w:rPr>
                <w:rFonts w:hint="eastAsia" w:ascii="Times New Roman" w:hAnsi="Times New Roman"/>
                <w:color w:val="ff0000"/>
                <w:szCs w:val="21"/>
                <w:highlight w:val="none"/>
              </w:rPr>
            </w:pPr>
            <w:r>
              <w:rPr>
                <w:rFonts w:hint="eastAsia" w:ascii="Times New Roman" w:hAnsi="Times New Roman"/>
                <w:color w:val="ff0000"/>
                <w:szCs w:val="21"/>
                <w:highlight w:val="none"/>
              </w:rPr>
            </w:r>
            <w:r/>
          </w:p>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台</w:t>
            </w:r>
            <w:r/>
          </w:p>
        </w:tc>
        <w:tc>
          <w:tcPr>
            <w:tcW w:w="767" w:type="pct"/>
            <w:textDirection w:val="lrTb"/>
            <w:noWrap w:val="false"/>
          </w:tcPr>
          <w:p>
            <w:pPr>
              <w:spacing w:line="360" w:lineRule="auto"/>
              <w:widowControl/>
              <w:rPr>
                <w:rFonts w:ascii="Times New Roman" w:hAnsi="Times New Roman"/>
                <w:color w:val="ff0000"/>
                <w:szCs w:val="21"/>
                <w:highlight w:val="none"/>
              </w:rPr>
            </w:pPr>
            <w:r>
              <w:rPr>
                <w:rFonts w:ascii="Times New Roman" w:hAnsi="Times New Roman"/>
                <w:color w:val="ff0000"/>
                <w:szCs w:val="21"/>
                <w:highlight w:val="none"/>
              </w:rPr>
              <w:t xml:space="preserve">网络布线所需数量</w:t>
            </w:r>
            <w:r>
              <w:rPr>
                <w:rFonts w:hint="eastAsia" w:ascii="Times New Roman" w:hAnsi="Times New Roman"/>
                <w:color w:val="ff0000"/>
                <w:szCs w:val="21"/>
                <w:highlight w:val="none"/>
              </w:rPr>
              <w:t xml:space="preserve">100</w:t>
            </w:r>
            <w:r/>
          </w:p>
        </w:tc>
      </w:tr>
      <w:tr>
        <w:trPr/>
        <w:tc>
          <w:tcPr>
            <w:tcW w:w="600"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2</w:t>
            </w:r>
            <w:r/>
          </w:p>
        </w:tc>
        <w:tc>
          <w:tcPr>
            <w:tcW w:w="732" w:type="pct"/>
            <w:textDirection w:val="lrTb"/>
            <w:noWrap w:val="false"/>
          </w:tcPr>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24口交换机</w:t>
            </w:r>
            <w:r/>
          </w:p>
        </w:tc>
        <w:tc>
          <w:tcPr>
            <w:tcW w:w="2248" w:type="pct"/>
            <w:textDirection w:val="lrTb"/>
            <w:noWrap w:val="false"/>
          </w:tcPr>
          <w:p>
            <w:pPr>
              <w:numPr>
                <w:ilvl w:val="0"/>
                <w:numId w:val="8"/>
              </w:numPr>
              <w:spacing w:line="360" w:lineRule="auto"/>
              <w:widowControl/>
              <w:rPr>
                <w:rFonts w:ascii="Times New Roman" w:hAnsi="Times New Roman"/>
                <w:color w:val="ff0000"/>
                <w:szCs w:val="21"/>
                <w:highlight w:val="none"/>
              </w:rPr>
            </w:pPr>
            <w:r>
              <w:rPr>
                <w:rFonts w:ascii="Times New Roman" w:hAnsi="Times New Roman"/>
                <w:color w:val="ff0000"/>
                <w:szCs w:val="21"/>
                <w:highlight w:val="none"/>
              </w:rPr>
              <w:t xml:space="preserve">24个10/100/1000Base-T以太网端口；</w:t>
            </w:r>
            <w:r/>
          </w:p>
          <w:p>
            <w:pPr>
              <w:numPr>
                <w:ilvl w:val="0"/>
                <w:numId w:val="8"/>
              </w:numPr>
              <w:ind w:left="0" w:firstLine="0"/>
              <w:spacing w:line="360" w:lineRule="auto"/>
              <w:widowControl/>
              <w:rPr>
                <w:rFonts w:ascii="Times New Roman" w:hAnsi="Times New Roman"/>
                <w:color w:val="ff0000"/>
                <w:szCs w:val="21"/>
                <w:highlight w:val="none"/>
              </w:rPr>
            </w:pPr>
            <w:r>
              <w:rPr>
                <w:rFonts w:ascii="Times New Roman" w:hAnsi="Times New Roman"/>
                <w:color w:val="ff0000"/>
                <w:szCs w:val="21"/>
                <w:highlight w:val="none"/>
              </w:rPr>
              <w:t xml:space="preserve">无阻塞高速转发，包转发率≥30Mpps；</w:t>
            </w:r>
            <w:r/>
          </w:p>
          <w:p>
            <w:pPr>
              <w:numPr>
                <w:ilvl w:val="0"/>
                <w:numId w:val="8"/>
              </w:numPr>
              <w:ind w:left="0" w:firstLine="0"/>
              <w:spacing w:line="360" w:lineRule="auto"/>
              <w:widowControl/>
              <w:rPr>
                <w:rFonts w:ascii="Times New Roman" w:hAnsi="Times New Roman"/>
                <w:color w:val="ff0000"/>
                <w:szCs w:val="21"/>
                <w:highlight w:val="none"/>
              </w:rPr>
            </w:pPr>
            <w:r>
              <w:rPr>
                <w:rFonts w:ascii="Times New Roman" w:hAnsi="Times New Roman"/>
                <w:color w:val="ff0000"/>
                <w:szCs w:val="21"/>
                <w:highlight w:val="none"/>
              </w:rPr>
              <w:t xml:space="preserve">支持DHCP相关功能。</w:t>
            </w:r>
            <w:r/>
          </w:p>
        </w:tc>
        <w:tc>
          <w:tcPr>
            <w:tcW w:w="651" w:type="pct"/>
            <w:textDirection w:val="lrTb"/>
            <w:noWrap w:val="false"/>
          </w:tcPr>
          <w:p>
            <w:pPr>
              <w:jc w:val="center"/>
              <w:spacing w:line="360" w:lineRule="auto"/>
              <w:widowControl/>
              <w:rPr>
                <w:rFonts w:hint="eastAsia" w:ascii="Times New Roman" w:hAnsi="Times New Roman"/>
                <w:color w:val="ff0000"/>
                <w:szCs w:val="21"/>
                <w:highlight w:val="none"/>
              </w:rPr>
            </w:pPr>
            <w:r>
              <w:rPr>
                <w:rFonts w:hint="eastAsia" w:ascii="Times New Roman" w:hAnsi="Times New Roman"/>
                <w:color w:val="ff0000"/>
                <w:szCs w:val="21"/>
                <w:highlight w:val="none"/>
              </w:rPr>
            </w:r>
            <w:r/>
          </w:p>
          <w:p>
            <w:pPr>
              <w:jc w:val="center"/>
              <w:spacing w:line="360" w:lineRule="auto"/>
              <w:widowControl/>
              <w:rPr>
                <w:rFonts w:ascii="Times New Roman" w:hAnsi="Times New Roman"/>
                <w:color w:val="ff0000"/>
                <w:szCs w:val="21"/>
                <w:highlight w:val="none"/>
              </w:rPr>
            </w:pPr>
            <w:r>
              <w:rPr>
                <w:rFonts w:hint="eastAsia" w:ascii="Times New Roman" w:hAnsi="Times New Roman"/>
                <w:color w:val="ff0000"/>
                <w:szCs w:val="21"/>
                <w:highlight w:val="none"/>
              </w:rPr>
              <w:t xml:space="preserve">台</w:t>
            </w:r>
            <w:r/>
          </w:p>
        </w:tc>
        <w:tc>
          <w:tcPr>
            <w:tcW w:w="767" w:type="pct"/>
            <w:textDirection w:val="lrTb"/>
            <w:noWrap w:val="false"/>
          </w:tcPr>
          <w:p>
            <w:pPr>
              <w:spacing w:line="360" w:lineRule="auto"/>
              <w:widowControl/>
              <w:rPr>
                <w:rFonts w:hint="eastAsia" w:ascii="Times New Roman" w:hAnsi="Times New Roman"/>
                <w:color w:val="ff0000"/>
                <w:szCs w:val="21"/>
                <w:highlight w:val="none"/>
              </w:rPr>
            </w:pPr>
            <w:r>
              <w:rPr>
                <w:rFonts w:hint="eastAsia" w:ascii="Times New Roman" w:hAnsi="Times New Roman"/>
                <w:color w:val="ff0000"/>
                <w:szCs w:val="21"/>
                <w:highlight w:val="none"/>
              </w:rPr>
              <w:t xml:space="preserve">两芯线</w:t>
            </w:r>
            <w:r>
              <w:rPr>
                <w:rFonts w:ascii="Times New Roman" w:hAnsi="Times New Roman"/>
                <w:color w:val="ff0000"/>
                <w:szCs w:val="21"/>
                <w:highlight w:val="none"/>
              </w:rPr>
              <w:t xml:space="preserve">布线所需数量</w:t>
            </w:r>
            <w:r>
              <w:rPr>
                <w:rFonts w:hint="eastAsia" w:ascii="Times New Roman" w:hAnsi="Times New Roman"/>
                <w:color w:val="ff0000"/>
                <w:szCs w:val="21"/>
                <w:highlight w:val="none"/>
              </w:rPr>
              <w:t xml:space="preserve">50</w:t>
            </w:r>
            <w:r/>
          </w:p>
        </w:tc>
      </w:tr>
    </w:tbl>
    <w:p>
      <w:pPr>
        <w:ind w:firstLine="422"/>
        <w:spacing w:line="360" w:lineRule="auto"/>
        <w:rPr>
          <w:rFonts w:hint="eastAsia" w:ascii="Times New Roman" w:hAnsi="Times New Roman" w:eastAsia="宋体"/>
          <w:b/>
          <w:bCs/>
          <w:color w:val="ff0000"/>
          <w:szCs w:val="21"/>
          <w:highlight w:val="none"/>
          <w:lang w:val="en-US" w:eastAsia="zh-CN"/>
        </w:rPr>
      </w:pPr>
      <w:r>
        <w:rPr>
          <w:rFonts w:hint="eastAsia" w:ascii="宋体" w:hAnsi="宋体" w:cs="宋体"/>
          <w:b/>
          <w:color w:val="ff0000"/>
          <w:highlight w:val="none"/>
        </w:rPr>
        <w:t xml:space="preserve">备注：各投标人</w:t>
      </w:r>
      <w:r>
        <w:rPr>
          <w:rFonts w:hint="eastAsia" w:ascii="宋体" w:hAnsi="宋体" w:cs="宋体"/>
          <w:b/>
          <w:color w:val="ff0000"/>
          <w:highlight w:val="none"/>
          <w:lang w:val="en-US" w:eastAsia="zh-CN"/>
        </w:rPr>
        <w:t xml:space="preserve">根据实际</w:t>
      </w:r>
      <w:r>
        <w:rPr>
          <w:rFonts w:hint="eastAsia" w:ascii="宋体" w:hAnsi="宋体" w:cs="宋体"/>
          <w:b/>
          <w:color w:val="ff0000"/>
          <w:highlight w:val="none"/>
        </w:rPr>
        <w:t xml:space="preserve">所投产品</w:t>
      </w:r>
      <w:r>
        <w:rPr>
          <w:rFonts w:hint="eastAsia" w:ascii="宋体" w:hAnsi="宋体" w:cs="宋体"/>
          <w:b/>
          <w:color w:val="ff0000"/>
          <w:highlight w:val="none"/>
          <w:lang w:val="en-US" w:eastAsia="zh-CN"/>
        </w:rPr>
        <w:t xml:space="preserve">的设计</w:t>
      </w:r>
      <w:r>
        <w:rPr>
          <w:rFonts w:hint="eastAsia" w:ascii="宋体" w:hAnsi="宋体" w:cs="宋体"/>
          <w:b/>
          <w:color w:val="ff0000"/>
          <w:highlight w:val="none"/>
        </w:rPr>
        <w:t xml:space="preserve">方案，并结合采购人实际病区情况，自行选择网络布线或两芯线布线方案，</w:t>
      </w:r>
      <w:r>
        <w:rPr>
          <w:rFonts w:hint="eastAsia" w:ascii="宋体" w:hAnsi="宋体" w:cs="宋体"/>
          <w:b/>
          <w:color w:val="ff0000"/>
          <w:highlight w:val="none"/>
          <w:lang w:val="en-US" w:eastAsia="zh-CN"/>
        </w:rPr>
        <w:t xml:space="preserve">综合考虑</w:t>
      </w:r>
      <w:r>
        <w:rPr>
          <w:rFonts w:hint="eastAsia" w:ascii="宋体" w:hAnsi="宋体" w:cs="宋体"/>
          <w:b/>
          <w:color w:val="ff0000"/>
          <w:highlight w:val="none"/>
        </w:rPr>
        <w:t xml:space="preserve">交换机</w:t>
      </w:r>
      <w:r>
        <w:rPr>
          <w:rFonts w:hint="eastAsia" w:ascii="宋体" w:hAnsi="宋体" w:cs="宋体"/>
          <w:b/>
          <w:color w:val="ff0000"/>
          <w:highlight w:val="none"/>
          <w:lang w:val="en-US" w:eastAsia="zh-CN"/>
        </w:rPr>
        <w:t xml:space="preserve">的</w:t>
      </w:r>
      <w:r>
        <w:rPr>
          <w:rFonts w:hint="eastAsia" w:ascii="宋体" w:hAnsi="宋体" w:cs="宋体"/>
          <w:b/>
          <w:color w:val="ff0000"/>
          <w:highlight w:val="none"/>
        </w:rPr>
        <w:t xml:space="preserve">报价</w:t>
      </w:r>
      <w:r>
        <w:rPr>
          <w:rFonts w:hint="eastAsia" w:ascii="宋体" w:hAnsi="宋体" w:cs="宋体"/>
          <w:b/>
          <w:color w:val="ff0000"/>
          <w:highlight w:val="none"/>
          <w:lang w:val="en-US" w:eastAsia="zh-CN"/>
        </w:rPr>
        <w:t xml:space="preserve">情况及</w:t>
      </w:r>
      <w:bookmarkStart w:id="101" w:name="_GoBack"/>
      <w:r/>
      <w:bookmarkEnd w:id="101"/>
      <w:r>
        <w:rPr>
          <w:rFonts w:hint="eastAsia" w:ascii="宋体" w:hAnsi="宋体" w:cs="宋体"/>
          <w:b/>
          <w:color w:val="ff0000"/>
          <w:highlight w:val="none"/>
          <w:lang w:val="en-US" w:eastAsia="zh-CN"/>
        </w:rPr>
        <w:t xml:space="preserve">报价方案。</w:t>
      </w:r>
      <w:r/>
    </w:p>
    <w:p>
      <w:pPr>
        <w:ind w:firstLine="422"/>
        <w:spacing w:line="360" w:lineRule="auto"/>
        <w:rPr>
          <w:color w:val="auto"/>
          <w:szCs w:val="21"/>
          <w:highlight w:val="none"/>
        </w:rPr>
      </w:pPr>
      <w:r>
        <w:rPr>
          <w:rFonts w:ascii="Times New Roman" w:hAnsi="Times New Roman"/>
          <w:b/>
          <w:color w:val="auto"/>
          <w:szCs w:val="21"/>
          <w:highlight w:val="none"/>
        </w:rPr>
        <w:t xml:space="preserve">说明：</w:t>
      </w:r>
      <w:r>
        <w:rPr>
          <w:rFonts w:hint="eastAsia" w:ascii="Times New Roman" w:hAnsi="Times New Roman"/>
          <w:b/>
          <w:i/>
          <w:iCs/>
          <w:color w:val="auto"/>
          <w:szCs w:val="21"/>
          <w:highlight w:val="none"/>
          <w:u w:val="single"/>
        </w:rPr>
        <w:t xml:space="preserve">投标人应按采购人提供的产品清单逐一分项报价，按产品清单数量如期供货，如因采购人需求变动超出产品清单范围的，由采购人按实结算。</w:t>
      </w:r>
      <w:r>
        <w:rPr>
          <w:rFonts w:hint="eastAsia" w:ascii="宋体" w:hAnsi="宋体" w:cs="宋体"/>
          <w:b/>
          <w:i/>
          <w:iCs/>
          <w:color w:val="auto"/>
          <w:highlight w:val="none"/>
          <w:u w:val="single"/>
        </w:rPr>
        <w:t xml:space="preserve">（提供针对本条上述所有内容的承诺书，承诺书格式自拟，系统上传）。</w:t>
      </w:r>
      <w:r>
        <w:rPr>
          <w:rFonts w:hint="eastAsia" w:ascii="宋体" w:hAnsi="宋体" w:cs="宋体"/>
          <w:b/>
          <w:color w:val="auto"/>
          <w:highlight w:val="none"/>
        </w:rPr>
        <w:t xml:space="preserve">如遇采购人病房基建改造、调整等情况，工期由中标人与采购人协商后确定，不在90天工期要求内。</w:t>
      </w:r>
      <w:r/>
    </w:p>
    <w:p>
      <w:pPr>
        <w:pStyle w:val="758"/>
        <w:numPr>
          <w:ilvl w:val="1"/>
          <w:numId w:val="0"/>
        </w:numPr>
        <w:spacing w:before="0" w:after="0"/>
        <w:rPr>
          <w:rFonts w:ascii="Times New Roman" w:hAnsi="Times New Roman" w:eastAsia="宋体" w:cs="Times New Roman"/>
          <w:color w:val="auto"/>
          <w:sz w:val="21"/>
          <w:szCs w:val="21"/>
          <w:highlight w:val="none"/>
        </w:rPr>
      </w:pPr>
      <w:r>
        <w:rPr>
          <w:rFonts w:hint="eastAsia" w:eastAsia="宋体"/>
          <w:color w:val="auto"/>
          <w:sz w:val="21"/>
          <w:szCs w:val="21"/>
          <w:highlight w:val="none"/>
        </w:rPr>
        <w:t xml:space="preserve">1.2</w:t>
      </w:r>
      <w:r>
        <w:rPr>
          <w:rFonts w:hint="eastAsia"/>
          <w:color w:val="auto"/>
          <w:sz w:val="21"/>
          <w:szCs w:val="21"/>
          <w:highlight w:val="none"/>
        </w:rPr>
        <w:t xml:space="preserve">产品参数要求</w:t>
      </w:r>
      <w:r/>
    </w:p>
    <w:p>
      <w:pPr>
        <w:pStyle w:val="758"/>
        <w:numPr>
          <w:ilvl w:val="1"/>
          <w:numId w:val="0"/>
        </w:numPr>
        <w:spacing w:before="0" w:after="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1.2</w:t>
      </w:r>
      <w:r>
        <w:rPr>
          <w:rFonts w:hint="eastAsia" w:ascii="Times New Roman" w:hAnsi="Times New Roman" w:eastAsia="宋体" w:cs="Times New Roman"/>
          <w:color w:val="auto"/>
          <w:sz w:val="21"/>
          <w:szCs w:val="21"/>
          <w:highlight w:val="none"/>
        </w:rPr>
        <w:t xml:space="preserve">.1</w:t>
      </w:r>
      <w:r>
        <w:rPr>
          <w:rFonts w:ascii="Times New Roman" w:hAnsi="Times New Roman" w:eastAsia="宋体" w:cs="Times New Roman"/>
          <w:color w:val="auto"/>
          <w:sz w:val="21"/>
          <w:szCs w:val="21"/>
          <w:highlight w:val="none"/>
        </w:rPr>
        <w:t xml:space="preserve">智慧病房系统</w:t>
      </w:r>
      <w:r>
        <w:rPr>
          <w:rFonts w:hint="eastAsia" w:ascii="Times New Roman" w:hAnsi="Times New Roman" w:eastAsia="宋体" w:cs="Times New Roman"/>
          <w:color w:val="auto"/>
          <w:sz w:val="21"/>
          <w:szCs w:val="21"/>
          <w:highlight w:val="none"/>
        </w:rPr>
        <w:t xml:space="preserve">软件功能要求</w:t>
      </w:r>
      <w:r/>
    </w:p>
    <w:tbl>
      <w:tblPr>
        <w:tblStyle w:val="794"/>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910"/>
        <w:gridCol w:w="1836"/>
        <w:gridCol w:w="5446"/>
      </w:tblGrid>
      <w:tr>
        <w:trPr/>
        <w:tc>
          <w:tcPr>
            <w:tcW w:w="503"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9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836"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446"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910"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账户与权限</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管理系统中所有的用户账户信息，并通过护士、护士长、医生、管理员等系统角色的形式将功能权限分配给相关用户，登录后自动显示对应的功能模块；</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终端管理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显示系统中各项终端的基本信息，可按照设备类型批量对各个终端进行升级操作；</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调查问卷</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系统支持问卷调查和问卷题库的管理等功能。</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护理级别管理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统一管理全院的护理级别名称、颜色等信息；</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患者一览</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通过患者信息卡的形式展示本护理单元患者的基本信息，点击后查看患者详情；</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宣教管理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系统支持宣教内容的管理和维护，宣教记录的查询等。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床头卡显示配置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管理本病区包括防跌倒、防压疮在内的各类警示信息在床头卡的展示形式；</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管理员操作本病区的床头分机、床旁分机、医护主机、门口分机等终端的包括音量亮度在内的各类设置，定时自动修改各个分机的亮度与音量；</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详细展示本病区中的历史呼叫记录，包括发起方、被叫方、是否接通、呼叫发起时间、呼叫处理时间、处理方式、通话时长等；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巡视记录</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支持护理人员在指定分机上完成查房打卡之后，系统生成巡视记录。</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商家管理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系统支持商家管理和商家二维码的管理等功能。</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操作记录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系统自动记录用户web端的相关重要操作，展示在操作记录表中；</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音频广播</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管理主机上的音频广播播出单，设置播出单的播放规则与播放时间；</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表单管理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管理系统中的各类护理表单，包括但不限于体温单、血糖单、出入量单、各类评估单等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终端安全保障设计</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采用终端授权接入机制，有效保障在专有的机构由专有人员将专有探视终端接入专有视频云。</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多重防护策略</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提供多重防护策略，可防护DDoS、CC、SQL注入、XSS跨站等常见Web服务器漏洞攻击、核心文件非授权访问、路径穿越等，保障网络安全。</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安全传输</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HTTPS、WSS、结合数字签名技术，防伪造，防篡改，有效保障数据安全传输。</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运维主页</w:t>
            </w:r>
            <w:r/>
          </w:p>
        </w:tc>
        <w:tc>
          <w:tcPr>
            <w:tcW w:w="5446"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ascii="Times New Roman" w:hAnsi="Times New Roman"/>
                <w:bCs/>
                <w:i/>
                <w:iCs/>
                <w:color w:val="auto"/>
                <w:szCs w:val="21"/>
                <w:highlight w:val="none"/>
                <w:u w:val="single"/>
              </w:rPr>
              <w:t xml:space="preserve">显示系统运维数据，包括各类型终端授权数量、服务器运行情况、各科室终端数量。</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消息提醒管理</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设置系统自动提醒的类型、名称、计算公式、触发时刻等规则与以及应用科室。</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角色管理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可以分配用户角色、登录账号，并对账号或者角色进行权限管理，分配操作内容等。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责任组管理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▲可以对患者呼叫进行分组管理，将患者呼叫转移到专管的责任护士的手持机或智能手机上实现呼叫通话。</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设备状态监控</w:t>
            </w:r>
            <w:r/>
          </w:p>
        </w:tc>
        <w:tc>
          <w:tcPr>
            <w:tcW w:w="5446"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ascii="Times New Roman" w:hAnsi="Times New Roman"/>
                <w:bCs/>
                <w:i/>
                <w:iCs/>
                <w:color w:val="auto"/>
                <w:szCs w:val="21"/>
                <w:highlight w:val="none"/>
                <w:u w:val="single"/>
              </w:rPr>
              <w:t xml:space="preserve">可以查看设备的位置、工作状态，快速发现故障设备，查看设备软件版本等信息，便于排查故障设备，定位问题。</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医护主机</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按安装科室查看各终端的IP地址、状态、版本信息、最后升级状态等终端信息，并可以进行终端在线升级、终端配置等运维操作。</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呼叫记录</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显示所选科室的历史呼叫记录内容，包括发起设备、接收设备、是否接通、呼叫时间、处理时间等内容。</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进出记录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支持根据医院指定的规则，记录所选科室护士进出病房的时间、进入房间、进入人等内容。</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调查问卷</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维护所选科室或全院的调查问卷内容，显示各个问卷调查的统计信息。</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呼叫统计</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可视化显示各个维度的呼叫统计，包括科室对比图、房间对比图、床位对比图、日趋势图、时趋势图、入住统计图、呼叫响应对比图。</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床头卡分区配置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支持按单个、多个病区配置个性化的床头卡和门口分机的字段、布局</w:t>
            </w:r>
            <w:r/>
          </w:p>
        </w:tc>
      </w:tr>
    </w:tbl>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2.2</w:t>
      </w:r>
      <w:r>
        <w:rPr>
          <w:rFonts w:ascii="Times New Roman" w:hAnsi="Times New Roman" w:eastAsia="宋体" w:cs="Times New Roman"/>
          <w:color w:val="auto"/>
          <w:sz w:val="21"/>
          <w:szCs w:val="21"/>
          <w:highlight w:val="none"/>
        </w:rPr>
        <w:t xml:space="preserve">第三方接口</w:t>
      </w:r>
      <w:r/>
    </w:p>
    <w:tbl>
      <w:tblPr>
        <w:tblStyle w:val="794"/>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908"/>
        <w:gridCol w:w="1842"/>
        <w:gridCol w:w="5450"/>
      </w:tblGrid>
      <w:tr>
        <w:trPr/>
        <w:tc>
          <w:tcPr>
            <w:tcW w:w="505"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9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45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0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908"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第三方接口</w:t>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互联互通</w:t>
            </w:r>
            <w:r/>
          </w:p>
        </w:tc>
        <w:tc>
          <w:tcPr>
            <w:tcW w:w="5450" w:type="dxa"/>
            <w:textDirection w:val="lrTb"/>
            <w:noWrap w:val="false"/>
          </w:tcPr>
          <w:p>
            <w:pPr>
              <w:jc w:val="left"/>
              <w:spacing w:line="360" w:lineRule="auto"/>
              <w:rPr>
                <w:rFonts w:ascii="Times New Roman" w:hAnsi="Times New Roman"/>
                <w:bCs/>
                <w:color w:val="auto"/>
                <w:szCs w:val="21"/>
                <w:highlight w:val="none"/>
              </w:rPr>
            </w:pPr>
            <w:r>
              <w:rPr>
                <w:rFonts w:hint="eastAsia" w:ascii="Times New Roman" w:hAnsi="Times New Roman"/>
                <w:bCs/>
                <w:i/>
                <w:iCs/>
                <w:color w:val="auto"/>
                <w:szCs w:val="21"/>
                <w:highlight w:val="none"/>
                <w:u w:val="single"/>
              </w:rPr>
              <w:t xml:space="preserve">★为了实现患者信息的交互，需根据医院需求做平台接口对接，平台需和院内系统实现互联互通、无缝对接。</w:t>
            </w:r>
            <w:r>
              <w:rPr>
                <w:rFonts w:hint="eastAsia" w:ascii="Times New Roman" w:hAnsi="Times New Roman"/>
                <w:b/>
                <w:i/>
                <w:iCs/>
                <w:color w:val="auto"/>
                <w:szCs w:val="21"/>
                <w:highlight w:val="none"/>
                <w:u w:val="single"/>
              </w:rPr>
              <w:t xml:space="preserve">（对以上内容进行</w:t>
            </w:r>
            <w:r>
              <w:rPr>
                <w:rFonts w:hint="eastAsia"/>
                <w:b/>
                <w:bCs/>
                <w:i/>
                <w:iCs/>
                <w:color w:val="auto"/>
                <w:highlight w:val="none"/>
                <w:u w:val="single"/>
              </w:rPr>
              <w:t xml:space="preserve">承诺书，上传系统，承诺书格式自拟）</w:t>
            </w:r>
            <w:r/>
          </w:p>
        </w:tc>
      </w:tr>
      <w:tr>
        <w:trPr/>
        <w:tc>
          <w:tcPr>
            <w:tcW w:w="50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90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接口费用</w:t>
            </w:r>
            <w:r/>
          </w:p>
        </w:tc>
        <w:tc>
          <w:tcPr>
            <w:tcW w:w="5450" w:type="dxa"/>
            <w:textDirection w:val="lrTb"/>
            <w:noWrap w:val="false"/>
          </w:tcPr>
          <w:p>
            <w:pPr>
              <w:pStyle w:val="773"/>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hint="eastAsia"/>
                <w:i/>
                <w:iCs/>
                <w:color w:val="auto"/>
                <w:highlight w:val="none"/>
                <w:u w:val="single"/>
              </w:rPr>
              <w:t xml:space="preserve">预估接口费用10万元需包含在投标报价中，后期采购人对该部分不另行增加，投标人在投标报价中应“根据项目功能需求和市场行情”予以考虑。</w:t>
            </w:r>
            <w:r>
              <w:rPr>
                <w:rFonts w:hint="eastAsia" w:ascii="Times New Roman" w:hAnsi="Times New Roman"/>
                <w:b/>
                <w:i/>
                <w:iCs/>
                <w:color w:val="auto"/>
                <w:szCs w:val="21"/>
                <w:highlight w:val="none"/>
                <w:u w:val="single"/>
              </w:rPr>
              <w:t xml:space="preserve">（对以上内容进行</w:t>
            </w:r>
            <w:r>
              <w:rPr>
                <w:rFonts w:hint="eastAsia"/>
                <w:b/>
                <w:bCs/>
                <w:i/>
                <w:iCs/>
                <w:color w:val="auto"/>
                <w:highlight w:val="none"/>
                <w:u w:val="single"/>
              </w:rPr>
              <w:t xml:space="preserve">承诺书，上传系统，承诺书格式自拟）</w:t>
            </w:r>
            <w:r>
              <w:rPr>
                <w:rFonts w:hint="eastAsia"/>
                <w:b/>
                <w:bCs/>
                <w:i/>
                <w:iCs/>
                <w:color w:val="auto"/>
                <w:highlight w:val="none"/>
              </w:rPr>
              <w:t xml:space="preserve">如遇接口对接问题，采购人可以协助投标人协调。</w:t>
            </w:r>
            <w:r/>
          </w:p>
        </w:tc>
      </w:tr>
    </w:tbl>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2.3</w:t>
      </w:r>
      <w:r>
        <w:rPr>
          <w:rFonts w:ascii="Times New Roman" w:hAnsi="Times New Roman" w:eastAsia="宋体" w:cs="Times New Roman"/>
          <w:color w:val="auto"/>
          <w:sz w:val="21"/>
          <w:szCs w:val="21"/>
          <w:highlight w:val="none"/>
        </w:rPr>
        <w:t xml:space="preserve">医护主机</w:t>
      </w:r>
      <w:r/>
    </w:p>
    <w:tbl>
      <w:tblPr>
        <w:tblStyle w:val="79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70"/>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1134" w:type="dxa"/>
            <w:textDirection w:val="lrTb"/>
            <w:noWrap w:val="false"/>
          </w:tcPr>
          <w:p>
            <w:pPr>
              <w:spacing w:line="360" w:lineRule="auto"/>
              <w:widowControl/>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70" w:type="dxa"/>
            <w:textDirection w:val="lrTb"/>
            <w:noWrap w:val="false"/>
          </w:tcPr>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CPU不低于6核，CPU主频不低于1.8GHz；</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运行内存不低于4G；</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尺寸不低于15英寸，</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分辨率不低于1920×1080；</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前置摄像头像素不低于1300W；</w:t>
            </w:r>
            <w:r/>
          </w:p>
          <w:p>
            <w:pPr>
              <w:pStyle w:val="773"/>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pStyle w:val="773"/>
              <w:spacing w:line="360" w:lineRule="auto"/>
              <w:rPr>
                <w:rFonts w:ascii="Times New Roman" w:hAnsi="Times New Roman"/>
                <w:b/>
                <w:bCs/>
                <w:color w:val="auto"/>
                <w:szCs w:val="21"/>
                <w:highlight w:val="none"/>
              </w:rPr>
            </w:pPr>
            <w:r>
              <w:rPr>
                <w:rFonts w:hint="eastAsia" w:ascii="Times New Roman" w:hAnsi="Times New Roman"/>
                <w:color w:val="auto"/>
                <w:szCs w:val="21"/>
                <w:highlight w:val="none"/>
              </w:rPr>
              <w:t xml:space="preserve">8.</w:t>
            </w:r>
            <w:r>
              <w:rPr>
                <w:rFonts w:ascii="Times New Roman" w:hAnsi="Times New Roman"/>
                <w:color w:val="auto"/>
                <w:szCs w:val="21"/>
                <w:highlight w:val="none"/>
              </w:rPr>
              <w:t xml:space="preserve">电容屏，支持手套操作，支持多点触控；</w:t>
            </w:r>
            <w:r/>
          </w:p>
          <w:p>
            <w:pPr>
              <w:pStyle w:val="773"/>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rPr>
                <w:rFonts w:ascii="Times New Roman" w:hAnsi="Times New Roman"/>
                <w:color w:val="auto"/>
                <w:szCs w:val="21"/>
                <w:highlight w:val="none"/>
              </w:rPr>
              <w:t xml:space="preserve">读卡模块：支持IC卡；WIFI：2.4G/5G及以上；蓝牙:5.0；以太网：支持10/100/1000Mbps自适应</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支持HDMI 2.0*1、USB2.0*1、RJ45*1、3.5mm耳机插孔*1等接口；</w:t>
            </w:r>
            <w:r/>
          </w:p>
          <w:p>
            <w:pPr>
              <w:pStyle w:val="773"/>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rPr>
                <w:rFonts w:ascii="Times New Roman" w:hAnsi="Times New Roman"/>
                <w:color w:val="auto"/>
                <w:szCs w:val="21"/>
                <w:highlight w:val="none"/>
              </w:rPr>
              <w:t xml:space="preserve">.物理按键：息屏键*1，便于使用人员快速开关屏幕；复位键*1，便于设备异常时快速重启，物理按键为隐藏式设计，可有效避免误按情况发生；</w:t>
            </w:r>
            <w:r/>
          </w:p>
          <w:p>
            <w:pPr>
              <w:pStyle w:val="773"/>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rPr>
                <w:rFonts w:ascii="Times New Roman" w:hAnsi="Times New Roman"/>
                <w:color w:val="auto"/>
                <w:szCs w:val="21"/>
                <w:highlight w:val="none"/>
              </w:rPr>
              <w:t xml:space="preserve">.支持电源适配器供电、POE供电、电源箱集中供电三种方式；</w:t>
            </w:r>
            <w:r/>
          </w:p>
          <w:p>
            <w:pPr>
              <w:pStyle w:val="773"/>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rPr>
                <w:rFonts w:ascii="Times New Roman" w:hAnsi="Times New Roman"/>
                <w:color w:val="auto"/>
                <w:szCs w:val="21"/>
                <w:highlight w:val="none"/>
              </w:rPr>
              <w:t xml:space="preserve">.面板钢化玻璃硬度≥6H，保证产品不易破坏。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呼叫患者</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支持向病区患者发起呼叫，接通后可进行音频或视频通话，支持自动接通；</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呼叫医护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支持向本病区值班室、护士站以及其他病区护士站发起呼叫，接通后可进行音频或视频通话；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多路通话</w:t>
            </w:r>
            <w:r/>
          </w:p>
        </w:tc>
        <w:tc>
          <w:tcPr>
            <w:tcW w:w="5670" w:type="dxa"/>
            <w:textDirection w:val="lrTb"/>
            <w:noWrap w:val="false"/>
          </w:tcPr>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▲支持一病区多主机模式，当一个主机正在通话中时，不影响其他主机等终端处理患者呼叫。</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接收呼叫</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支持接听、挂断、忽略三种形式的处理呼叫方式，选择“忽略”后只会挂断在当前终端的呼叫请求，而不影响其他终端接收；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患者监护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医护主机支持主动调起患者的床头/床旁分机摄像头，查看患者的实时情况。</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宕机呼叫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服务器重启、宕机、停电等特殊情况均不影响正常患者向主机的呼叫功能。呼叫托管：可设置托管主机，床头、门口等分机的呼叫统一转移到被托管主机上处理。支持立即托管与定时段托管模式。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忙音反馈</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当主机在通话中时，系统可自动将呼叫信息收到的状态反馈给床头、床旁分机等终端，减轻患者焦虑。</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录音录像</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支持对通话过程录音录像，并可在服务端查询播放录制的文件。</w:t>
            </w:r>
            <w:r/>
          </w:p>
        </w:tc>
      </w:tr>
      <w:tr>
        <w:trPr/>
        <w:tc>
          <w:tcPr>
            <w:tcW w:w="7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语音播报</w:t>
            </w:r>
            <w:r/>
          </w:p>
        </w:tc>
        <w:tc>
          <w:tcPr>
            <w:tcW w:w="5670"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支持对接收的呼叫信息进行汉字语音播报，如“X床呼叫”、“X房间卫生间呼叫”等，可设置报号次数。</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未处理提醒</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支持设置持续提醒或间隔提醒，以满足不同环境、不同病区需要。</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一键清除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支持一键清除所有未处理呼叫，节省逐条清除时间。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呼叫记录</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展示病区历史呼叫记录，包括发起方、被叫方、呼叫发起时间、呼叫处理时间、处理方式、通话时长等。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床位信息卡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展示床位一览，每个床位模块显示对应患者的床位信息、患者基本信息、护理标识信息等。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病区统计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支持统计并展示病区床位总数、患者总数、危重预警人数、各护理级别人数等。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显示模式</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床位信息卡支持常规模式和极简模式两种显示模式，用户可根据使用习惯自行切换。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患者详情</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展示患者详情，包括床号、姓名、性别、年龄、出生日期、入院时间、入院诊断等。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护士进入</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配合门口操作，支持查看病区护士所在房间位置。</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屏保动画</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终端持续未操作时，支持自动显示屏保动画。</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话筒广播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支持向整个病区、任意床位、任意房间发起实时话筒广播，广播时所有播放终端声音进度保持一致。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音频广播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支持通过播出单向整个病区、任意床位、任意房间发起定时或实时音频广播，支持单曲循环、列表循环、顺序播放三种播放模式，广播时所有播放终端声音进度保持一致。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闹钟提醒</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配合患者端闹钟功能，皮试、测血糖等闹钟到时后支持一同联动提醒，播放闹钟铃声。</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护士定位</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配合门口分机的护士进入功能，可查看哪些房间有护士进入</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屏幕亮度调整</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终端音量调整</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支持后台配置多时间段终端音量，可根据医院作息灵活控制。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回音消除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具备回音消除算法，优化通话噪音，提高通话质量。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噪音抑制</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通过噪音抑制算法，降低通话中的环境噪音，提高通话质量。硬件看门狗功能：硬件看门狗设计，支持设备异常时自动重启功能。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网络抖动抑制</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可在弱网环境下提供高效网络传输、通话功能，提升用户通讯体验。</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硬件重启</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支持通过实体按键完成硬件重启功能。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延时上电</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为防止多设备同时启动时瞬时电流过大，设备支持延时上电功能。</w:t>
            </w:r>
            <w:r/>
          </w:p>
        </w:tc>
      </w:tr>
    </w:tbl>
    <w:p>
      <w:pPr>
        <w:rPr>
          <w:color w:val="auto"/>
          <w:highlight w:val="none"/>
        </w:rPr>
      </w:pPr>
      <w:r>
        <w:rPr>
          <w:color w:val="auto"/>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2.4</w:t>
      </w:r>
      <w:r>
        <w:rPr>
          <w:rFonts w:ascii="Times New Roman" w:hAnsi="Times New Roman" w:eastAsia="宋体" w:cs="Times New Roman"/>
          <w:color w:val="auto"/>
          <w:sz w:val="21"/>
          <w:szCs w:val="21"/>
          <w:highlight w:val="none"/>
        </w:rPr>
        <w:t xml:space="preserve">普通病区床头分机</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70"/>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rHeight w:val="617"/>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普通病区床头分机</w:t>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70" w:type="dxa"/>
            <w:textDirection w:val="lrTb"/>
            <w:noWrap w:val="false"/>
          </w:tcPr>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▲1.安卓操作系统，</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Android 1</w:t>
            </w:r>
            <w:r>
              <w:rPr>
                <w:rFonts w:hint="eastAsia" w:ascii="Times New Roman" w:hAnsi="Times New Roman"/>
                <w:bCs/>
                <w:color w:val="auto"/>
                <w:szCs w:val="21"/>
                <w:highlight w:val="none"/>
              </w:rPr>
              <w:t xml:space="preserve">0</w:t>
            </w:r>
            <w:r>
              <w:rPr>
                <w:rFonts w:ascii="Times New Roman" w:hAnsi="Times New Roman"/>
                <w:bCs/>
                <w:color w:val="auto"/>
                <w:szCs w:val="21"/>
                <w:highlight w:val="none"/>
              </w:rPr>
              <w:t xml:space="preserve">.0；</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2.屏幕</w:t>
            </w:r>
            <w:r>
              <w:rPr>
                <w:rFonts w:ascii="Times New Roman" w:hAnsi="Times New Roman"/>
                <w:bCs/>
                <w:color w:val="auto"/>
                <w:szCs w:val="21"/>
                <w:highlight w:val="none"/>
              </w:rPr>
              <w:t xml:space="preserve">尺寸</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7英寸</w:t>
            </w:r>
            <w:r>
              <w:rPr>
                <w:rFonts w:hint="eastAsia" w:ascii="Times New Roman" w:hAnsi="Times New Roman"/>
                <w:bCs/>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3.</w:t>
            </w:r>
            <w:r>
              <w:rPr>
                <w:rFonts w:ascii="Times New Roman" w:hAnsi="Times New Roman"/>
                <w:bCs/>
                <w:color w:val="auto"/>
                <w:szCs w:val="21"/>
                <w:highlight w:val="none"/>
              </w:rPr>
              <w:t xml:space="preserve">分辨率</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1024×600；</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4.</w:t>
            </w:r>
            <w:r>
              <w:rPr>
                <w:rFonts w:ascii="Times New Roman" w:hAnsi="Times New Roman"/>
                <w:bCs/>
                <w:color w:val="auto"/>
                <w:szCs w:val="21"/>
                <w:highlight w:val="none"/>
              </w:rPr>
              <w:t xml:space="preserve">CPU:不低于4核</w:t>
            </w:r>
            <w:r>
              <w:rPr>
                <w:rFonts w:hint="eastAsia" w:ascii="Times New Roman" w:hAnsi="Times New Roman"/>
                <w:bCs/>
                <w:color w:val="auto"/>
                <w:szCs w:val="21"/>
                <w:highlight w:val="none"/>
              </w:rPr>
              <w:t xml:space="preserve">；</w:t>
            </w:r>
            <w:r>
              <w:rPr>
                <w:rFonts w:ascii="Times New Roman" w:hAnsi="Times New Roman"/>
                <w:color w:val="auto"/>
                <w:szCs w:val="21"/>
                <w:highlight w:val="none"/>
              </w:rPr>
              <w:t xml:space="preserve">主频不低于</w:t>
            </w:r>
            <w:r>
              <w:rPr>
                <w:rFonts w:ascii="Times New Roman" w:hAnsi="Times New Roman"/>
                <w:bCs/>
                <w:color w:val="auto"/>
                <w:szCs w:val="21"/>
                <w:highlight w:val="none"/>
              </w:rPr>
              <w:t xml:space="preserve">1.8GHz；</w:t>
            </w:r>
            <w:r>
              <w:rPr>
                <w:rFonts w:hint="eastAsia" w:ascii="Times New Roman" w:hAnsi="Times New Roman"/>
                <w:bCs/>
                <w:color w:val="auto"/>
                <w:szCs w:val="21"/>
                <w:highlight w:val="none"/>
              </w:rPr>
              <w:t xml:space="preserve">GPU：</w:t>
            </w:r>
            <w:r>
              <w:rPr>
                <w:rFonts w:ascii="Times New Roman" w:hAnsi="Times New Roman"/>
                <w:bCs/>
                <w:color w:val="auto"/>
                <w:szCs w:val="21"/>
                <w:highlight w:val="none"/>
              </w:rPr>
              <w:t xml:space="preserve">不低于800MHz</w:t>
            </w:r>
            <w:r>
              <w:rPr>
                <w:rFonts w:hint="eastAsia" w:ascii="Times New Roman" w:hAnsi="Times New Roman"/>
                <w:bCs/>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5.</w:t>
            </w:r>
            <w:r>
              <w:rPr>
                <w:rFonts w:ascii="Times New Roman" w:hAnsi="Times New Roman"/>
                <w:bCs/>
                <w:color w:val="auto"/>
                <w:szCs w:val="21"/>
                <w:highlight w:val="none"/>
              </w:rPr>
              <w:t xml:space="preserve">运行内存：不低于2G</w:t>
            </w:r>
            <w:r>
              <w:rPr>
                <w:rFonts w:hint="eastAsia" w:ascii="Times New Roman" w:hAnsi="Times New Roman"/>
                <w:bCs/>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6.</w:t>
            </w:r>
            <w:r>
              <w:rPr>
                <w:rFonts w:ascii="Times New Roman" w:hAnsi="Times New Roman"/>
                <w:bCs/>
                <w:color w:val="auto"/>
                <w:szCs w:val="21"/>
                <w:highlight w:val="none"/>
              </w:rPr>
              <w:t xml:space="preserve">机身存储不低于：32G</w:t>
            </w:r>
            <w:r>
              <w:rPr>
                <w:rFonts w:hint="eastAsia" w:ascii="Times New Roman" w:hAnsi="Times New Roman"/>
                <w:bCs/>
                <w:color w:val="auto"/>
                <w:szCs w:val="21"/>
                <w:highlight w:val="none"/>
              </w:rPr>
              <w:t xml:space="preserve">；</w:t>
            </w:r>
            <w:r/>
          </w:p>
          <w:p>
            <w:pPr>
              <w:pStyle w:val="773"/>
              <w:spacing w:line="360" w:lineRule="auto"/>
              <w:rPr>
                <w:color w:val="auto"/>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7.</w:t>
            </w:r>
            <w:r>
              <w:rPr>
                <w:rFonts w:ascii="Times New Roman" w:hAnsi="Times New Roman"/>
                <w:bCs/>
                <w:color w:val="auto"/>
                <w:szCs w:val="21"/>
                <w:highlight w:val="none"/>
              </w:rPr>
              <w:t xml:space="preserve">电容触摸屏，防指纹；支持多点触控；具备摄像头，像素不低于800W</w:t>
            </w:r>
            <w:r>
              <w:rPr>
                <w:rFonts w:hint="eastAsia" w:ascii="Times New Roman" w:hAnsi="Times New Roman"/>
                <w:bCs/>
                <w:color w:val="auto"/>
                <w:szCs w:val="21"/>
                <w:highlight w:val="none"/>
              </w:rPr>
              <w:t xml:space="preserve">；</w:t>
            </w:r>
            <w:r>
              <w:rPr>
                <w:rFonts w:ascii="Times New Roman" w:hAnsi="Times New Roman"/>
                <w:bCs/>
                <w:color w:val="auto"/>
                <w:szCs w:val="21"/>
                <w:highlight w:val="none"/>
              </w:rPr>
              <w:t xml:space="preserve">WIFI:2.4G/5G 802.11 a/b/g/n/ac；蓝牙：支持蓝牙4.2及以上；支持光感；物理按键：护理键*1、增援键*1、呼叫键*1</w:t>
            </w:r>
            <w:r>
              <w:rPr>
                <w:rFonts w:hint="eastAsia" w:ascii="Times New Roman" w:hAnsi="Times New Roman"/>
                <w:bCs/>
                <w:color w:val="auto"/>
                <w:szCs w:val="21"/>
                <w:highlight w:val="none"/>
              </w:rPr>
              <w:t xml:space="preserve">。</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w:t>
            </w:r>
            <w:r>
              <w:rPr>
                <w:rFonts w:ascii="Times New Roman" w:hAnsi="Times New Roman"/>
                <w:bCs/>
                <w:color w:val="auto"/>
                <w:szCs w:val="21"/>
                <w:highlight w:val="none"/>
              </w:rPr>
              <w:t xml:space="preserve">支持POE供电，POE供电与独立供电可自识别。</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w:t>
            </w:r>
            <w:r>
              <w:rPr>
                <w:rFonts w:ascii="Times New Roman" w:hAnsi="Times New Roman"/>
                <w:bCs/>
                <w:color w:val="auto"/>
                <w:szCs w:val="21"/>
                <w:highlight w:val="none"/>
              </w:rPr>
              <w:t xml:space="preserve">支持电源适配器供电、POE供电、电源箱集中供电三种方式</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w:t>
            </w:r>
            <w:r>
              <w:rPr>
                <w:rFonts w:ascii="Times New Roman" w:hAnsi="Times New Roman"/>
                <w:bCs/>
                <w:color w:val="auto"/>
                <w:szCs w:val="21"/>
                <w:highlight w:val="none"/>
              </w:rPr>
              <w:t xml:space="preserve">支持IC刷卡；支持门灯接口、支持呼叫开关接口；其他接口：USB2.0、RJ45、扬声器转接口、呼叫开关接口、卫生间接口、门灯接口。</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护理呼叫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支持向病区护士发起呼叫请求，提供音频呼叫、视频呼叫等多种呼叫发起方式。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巡视记录</w:t>
            </w:r>
            <w:r/>
          </w:p>
        </w:tc>
        <w:tc>
          <w:tcPr>
            <w:tcW w:w="5670"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hint="eastAsia" w:ascii="Times New Roman" w:hAnsi="Times New Roman"/>
                <w:i/>
                <w:iCs/>
                <w:color w:val="auto"/>
                <w:szCs w:val="21"/>
                <w:highlight w:val="none"/>
                <w:u w:val="single"/>
              </w:rPr>
              <w:t xml:space="preserve">支持护理人员在指定分机上刷卡之后，系统生成巡视记录或提供给护理系统打卡记录。每个病区配置2张IC卡。</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换药呼叫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支持直接发起换药呼叫请求，无需接通，快速响应。</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增援呼叫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护士可发起增援呼叫求助，方便护理人员迅速定位所需增援床位。</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呼叫转移</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护士进入房间后，可使用该房间内床头分机接听其他房间患者床头分机的呼叫，并进行双向音视频对讲。</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呼叫联动</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床头分机发起呼叫时，可联动医护主机、医声助手、门口分机、走廊屏、值班室分机、门灯等终端设备联动，支持与医院护理PDA对接实现PDA端可接收到呼叫提醒，保障呼叫信息及时有效传递。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可视对讲</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提供音频呼叫、视频呼叫、增援呼叫等多种呼叫发起方式，患者或医护人员可根据实际情况自行选择呼叫方式。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护理床头卡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显示患者的各项信息，如姓名、床号、性别、年龄、入院日期、过敏史、饮食类型等基本信息以及防跌倒、防压疮、非计划拔管等预警信息，支持样式定制。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床头卡自动复位</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终端一段时间无操作后，系统支持自动返回患者床头卡界面，无需手动操作。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智能宣教</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系统支持智能宣教和宣教状态查询等功能。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智能闹钟</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吸氧、皮试及其他辅助器械使用时，可设置闹钟计时提醒。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医疗计算器</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内置医疗计算器，包括“静脉补液滴速”“平均动脉压”“日胰岛素用量”等，护士输入完成相关项后，自动计算结果。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播放广播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护士站医护主机进行广播时，床头分机可以播放相应广播内容。</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屏幕亮度调整</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延时上电</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为防止多设备同时启动时瞬时电流过大，设备支持延时上电功能。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显示内容</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可根据医院需求拓展对接医疗资料、接入点餐、预约护工、游戏娱乐、问卷调查等非医疗服务。</w:t>
            </w:r>
            <w:r/>
          </w:p>
        </w:tc>
      </w:tr>
    </w:tbl>
    <w:p>
      <w:pPr>
        <w:rPr>
          <w:color w:val="auto"/>
          <w:highlight w:val="none"/>
        </w:rPr>
      </w:pPr>
      <w:r>
        <w:rPr>
          <w:color w:val="auto"/>
          <w:highlight w:val="none"/>
        </w:rPr>
      </w:r>
      <w:r/>
    </w:p>
    <w:p>
      <w:pPr>
        <w:pStyle w:val="801"/>
        <w:rPr>
          <w:color w:val="auto"/>
          <w:highlight w:val="none"/>
        </w:rPr>
      </w:pPr>
      <w:r>
        <w:rPr>
          <w:color w:val="auto"/>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2.5</w:t>
      </w:r>
      <w:r>
        <w:rPr>
          <w:rFonts w:ascii="Times New Roman" w:hAnsi="Times New Roman" w:eastAsia="宋体" w:cs="Times New Roman"/>
          <w:color w:val="auto"/>
          <w:sz w:val="21"/>
          <w:szCs w:val="21"/>
          <w:highlight w:val="none"/>
        </w:rPr>
        <w:t xml:space="preserve">门口分机</w:t>
      </w:r>
      <w:r/>
    </w:p>
    <w:tbl>
      <w:tblPr>
        <w:tblStyle w:val="79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99"/>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硬件参数</w:t>
            </w:r>
            <w:r/>
          </w:p>
        </w:tc>
        <w:tc>
          <w:tcPr>
            <w:tcW w:w="5699" w:type="dxa"/>
            <w:textDirection w:val="lrTb"/>
            <w:noWrap w:val="false"/>
          </w:tcPr>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2.尺寸不低于15.6英寸IPS屏；</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CPU不低于4核，主频不低于1.8GHz；</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运行内存不低于2G</w:t>
            </w:r>
            <w:r>
              <w:rPr>
                <w:rFonts w:hint="eastAsia" w:ascii="Times New Roman" w:hAnsi="Times New Roman"/>
                <w:color w:val="auto"/>
                <w:szCs w:val="21"/>
                <w:highlight w:val="none"/>
              </w:rPr>
              <w:t xml:space="preserve">；</w:t>
            </w:r>
            <w:r/>
          </w:p>
          <w:p>
            <w:pPr>
              <w:pStyle w:val="773"/>
              <w:spacing w:line="360" w:lineRule="auto"/>
              <w:rPr>
                <w:rFonts w:ascii="Times New Roman" w:hAnsi="Times New Roman"/>
                <w:b/>
                <w:bCs/>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773"/>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电容触摸屏，支持多点触控，支持不少于10点；分辨率不低于1920×1080</w:t>
            </w:r>
            <w:r>
              <w:rPr>
                <w:rFonts w:ascii="Times New Roman" w:hAnsi="Times New Roman"/>
                <w:color w:val="auto"/>
                <w:szCs w:val="21"/>
                <w:highlight w:val="none"/>
              </w:rPr>
              <w:t xml:space="preserve">；亮度：250cd/m²；设备自带门灯，门灯颜色不小于7色；支持NFC，自带摄像头，像素不低于800W；支持WiFi5，蓝牙5.0；支持光感模块；具备实体护理按键；</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rPr>
                <w:rFonts w:ascii="Times New Roman" w:hAnsi="Times New Roman"/>
                <w:color w:val="auto"/>
                <w:szCs w:val="21"/>
                <w:highlight w:val="none"/>
              </w:rPr>
              <w:t xml:space="preserve">.支持电源适配器供电、POE供电、电源箱集中供电三种方式;</w:t>
            </w:r>
            <w:r/>
          </w:p>
          <w:p>
            <w:pPr>
              <w:pStyle w:val="774"/>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rPr>
                <w:rFonts w:ascii="Times New Roman" w:hAnsi="Times New Roman"/>
                <w:color w:val="auto"/>
                <w:szCs w:val="21"/>
                <w:highlight w:val="none"/>
              </w:rPr>
              <w:t xml:space="preserve">.扬声器：支持双声道；</w:t>
            </w:r>
            <w:r/>
          </w:p>
          <w:p>
            <w:pPr>
              <w:pStyle w:val="774"/>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rPr>
                <w:rFonts w:ascii="Times New Roman" w:hAnsi="Times New Roman"/>
                <w:color w:val="auto"/>
                <w:szCs w:val="21"/>
                <w:highlight w:val="none"/>
              </w:rPr>
              <w:t xml:space="preserve">.接口：USB2.0、RJ45转接口、卫生间分机接口、开关接口。</w:t>
            </w:r>
            <w:r/>
          </w:p>
          <w:p>
            <w:pPr>
              <w:pStyle w:val="774"/>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rPr>
                <w:rFonts w:ascii="Times New Roman" w:hAnsi="Times New Roman"/>
                <w:color w:val="auto"/>
                <w:szCs w:val="21"/>
                <w:highlight w:val="none"/>
              </w:rPr>
              <w:t xml:space="preserve">.支持分屏显示</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房间信息展示</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显示房间名及其包含床位；</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患者信息展示</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显示房间内床位号与患者信息；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护士进入</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定位护士进入哪个房间，同时清除本房间的未处理呼叫；</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宣教文章展示</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系统支持宣教文章的展示功能。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医护列表</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展示本科室的医护信息；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呼叫响应</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对本房间患者呼叫进行显示与门灯闪烁提醒；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呼叫患者</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支持向病区患者发起呼叫，接通后可进行音视频通话，支持自动接通。</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呼叫医护</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支持向医护主机发起呼叫，接通后可进行音视频通话。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接收呼叫</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支持接听、挂断、忽略三种形式的处理呼叫方式，选择“忽略”后只会挂断在当前终端的呼叫请求，而不影响其他终端接收。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呼叫优先级</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支持开启与关闭呼叫优先级功能，开启后，高优先级的呼叫发起后将自动中断进行中的低优先级呼叫，优先显示处理高优先级的呼叫请求。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通话保持</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当医护主机正在进行音视频通话的时候，收到其他终端发来的呼叫通话请求，可以将当前通话设为保持状态，与其他终端进行音视频通话。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多路通话</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支持一病区多主机模式，当一个主机正在通话中时，不影响其他主机等终端处理患者呼叫。</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门灯颜色配置</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针对患者呼叫类型与患者护理级别的不同进行不同颜色门灯的闪烁提醒；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护士查房</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配合护士身份卡完成记录护士查房信息；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模式切换</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支持管房与管床两种显示模式的自由切换；</w:t>
            </w:r>
            <w:r/>
          </w:p>
        </w:tc>
      </w:tr>
    </w:tbl>
    <w:p>
      <w:pPr>
        <w:rPr>
          <w:color w:val="auto"/>
          <w:highlight w:val="none"/>
        </w:rPr>
      </w:pPr>
      <w:r>
        <w:rPr>
          <w:color w:val="auto"/>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2.6</w:t>
      </w:r>
      <w:r>
        <w:rPr>
          <w:rFonts w:ascii="Times New Roman" w:hAnsi="Times New Roman" w:eastAsia="宋体" w:cs="Times New Roman"/>
          <w:color w:val="auto"/>
          <w:sz w:val="21"/>
          <w:szCs w:val="21"/>
          <w:highlight w:val="none"/>
        </w:rPr>
        <w:t xml:space="preserve">卫生间按钮</w:t>
      </w:r>
      <w:r/>
    </w:p>
    <w:tbl>
      <w:tblPr>
        <w:tblStyle w:val="794"/>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870"/>
        <w:gridCol w:w="1140"/>
        <w:gridCol w:w="6152"/>
      </w:tblGrid>
      <w:tr>
        <w:trPr/>
        <w:tc>
          <w:tcPr>
            <w:tcW w:w="54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70"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防护等级</w:t>
            </w:r>
            <w:r/>
          </w:p>
        </w:tc>
        <w:tc>
          <w:tcPr>
            <w:tcW w:w="6152" w:type="dxa"/>
            <w:textDirection w:val="lrTb"/>
            <w:noWrap w:val="false"/>
          </w:tcPr>
          <w:p>
            <w:pPr>
              <w:pStyle w:val="773"/>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w:t>
            </w:r>
            <w:r>
              <w:rPr>
                <w:rFonts w:hint="eastAsia"/>
                <w:color w:val="auto"/>
                <w:highlight w:val="none"/>
              </w:rPr>
              <w:t xml:space="preserve">≥IP67</w:t>
            </w:r>
            <w:r>
              <w:rPr>
                <w:rFonts w:ascii="Times New Roman" w:hAnsi="Times New Roman"/>
                <w:color w:val="auto"/>
                <w:szCs w:val="21"/>
                <w:highlight w:val="none"/>
              </w:rPr>
              <w:t xml:space="preserve">防护等级</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呼叫按键占比大于25%；静电等级±15KV；</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ascii="Times New Roman" w:hAnsi="Times New Roman"/>
                <w:color w:val="auto"/>
                <w:szCs w:val="21"/>
                <w:highlight w:val="none"/>
              </w:rPr>
              <w:t xml:space="preserve">具有专用取消按键，便于及时清除误操作，也支持在医护主机上取消报警</w:t>
            </w:r>
            <w:r>
              <w:rPr>
                <w:rFonts w:hint="eastAsia" w:ascii="Times New Roman" w:hAnsi="Times New Roman"/>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组网方式</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两线制组网；防冲突撞码：保证由主机下发的每一个分机码都能被对应的卫生间分机收到，形成贯通的通讯机制。</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功能支持</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呼叫拉绳、蜂鸣器、灯光指示、呼叫取消按键</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声光报警</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呼叫时有明显的声光报警提示，系统在病区中有广播提示，便于医护人员快速响应。</w:t>
            </w:r>
            <w:r/>
          </w:p>
        </w:tc>
      </w:tr>
    </w:tbl>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2.7吊装</w:t>
      </w:r>
      <w:r>
        <w:rPr>
          <w:rFonts w:ascii="Times New Roman" w:hAnsi="Times New Roman" w:eastAsia="宋体" w:cs="Times New Roman"/>
          <w:color w:val="auto"/>
          <w:sz w:val="21"/>
          <w:szCs w:val="21"/>
          <w:highlight w:val="none"/>
        </w:rPr>
        <w:t xml:space="preserve">走廊屏</w:t>
      </w:r>
      <w:r/>
    </w:p>
    <w:tbl>
      <w:tblPr>
        <w:tblStyle w:val="794"/>
        <w:tblW w:w="86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870"/>
        <w:gridCol w:w="1129"/>
        <w:gridCol w:w="6151"/>
      </w:tblGrid>
      <w:tr>
        <w:trPr/>
        <w:tc>
          <w:tcPr>
            <w:tcW w:w="543"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70" w:type="dxa"/>
            <w:vMerge w:val="restart"/>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112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6151" w:type="dxa"/>
            <w:textDirection w:val="lrTb"/>
            <w:noWrap w:val="false"/>
          </w:tcPr>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1.</w:t>
            </w:r>
            <w:r>
              <w:rPr>
                <w:rFonts w:ascii="Times New Roman" w:hAnsi="Times New Roman"/>
                <w:color w:val="auto"/>
                <w:szCs w:val="21"/>
                <w:highlight w:val="none"/>
              </w:rPr>
              <w:t xml:space="preserve">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双面显示</w:t>
            </w:r>
            <w:r>
              <w:rPr>
                <w:rFonts w:hint="eastAsia" w:ascii="Times New Roman" w:hAnsi="Times New Roman"/>
                <w:color w:val="auto"/>
                <w:szCs w:val="21"/>
                <w:highlight w:val="none"/>
              </w:rPr>
              <w:t xml:space="preserve">屏幕</w:t>
            </w:r>
            <w:r>
              <w:rPr>
                <w:rFonts w:ascii="Times New Roman" w:hAnsi="Times New Roman"/>
                <w:color w:val="auto"/>
                <w:szCs w:val="21"/>
                <w:highlight w:val="none"/>
              </w:rPr>
              <w:t xml:space="preserve">，一体成型，</w:t>
            </w:r>
            <w:r>
              <w:rPr>
                <w:rFonts w:hint="eastAsia" w:ascii="Times New Roman" w:hAnsi="Times New Roman"/>
                <w:color w:val="auto"/>
                <w:szCs w:val="21"/>
                <w:highlight w:val="none"/>
              </w:rPr>
              <w:t xml:space="preserve">屏幕</w:t>
            </w:r>
            <w:r>
              <w:rPr>
                <w:rFonts w:ascii="Times New Roman" w:hAnsi="Times New Roman"/>
                <w:color w:val="auto"/>
                <w:szCs w:val="21"/>
                <w:highlight w:val="none"/>
              </w:rPr>
              <w:t xml:space="preserve">尺寸不低于28.6英寸；</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分辨率不低于1920×560；</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具备扬声器</w:t>
            </w:r>
            <w:r>
              <w:rPr>
                <w:rFonts w:hint="eastAsia" w:ascii="Times New Roman" w:hAnsi="Times New Roman"/>
                <w:color w:val="auto"/>
                <w:szCs w:val="21"/>
                <w:highlight w:val="none"/>
              </w:rPr>
              <w:t xml:space="preserve">；</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CPU:不低于6核；CPU主频不低于1.8GHz；</w:t>
            </w:r>
            <w:r/>
          </w:p>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运行内存不低于4G</w:t>
            </w:r>
            <w:r>
              <w:rPr>
                <w:rFonts w:hint="eastAsia" w:ascii="Times New Roman" w:hAnsi="Times New Roman"/>
                <w:color w:val="auto"/>
                <w:szCs w:val="21"/>
                <w:highlight w:val="none"/>
              </w:rPr>
              <w:t xml:space="preserve">；</w:t>
            </w:r>
            <w:r/>
          </w:p>
          <w:p>
            <w:pPr>
              <w:pStyle w:val="773"/>
              <w:spacing w:line="360" w:lineRule="auto"/>
              <w:rPr>
                <w:rFonts w:ascii="Times New Roman" w:hAnsi="Times New Roman"/>
                <w:b/>
                <w:bCs/>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机身存储不低于32G。</w:t>
            </w:r>
            <w:r/>
          </w:p>
          <w:p>
            <w:pPr>
              <w:pStyle w:val="773"/>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呼叫信息展示</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展示当前正在进行以及未处理的呼叫信息</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呼叫播报</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支持对当前未处理的呼叫信息进行语音播报</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信息发布</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▲当系统无呼叫时，展示本护理单元的信息发布类文章，支持定时播放与轮播。</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播放视频</w:t>
            </w:r>
            <w:r/>
          </w:p>
        </w:tc>
        <w:tc>
          <w:tcPr>
            <w:tcW w:w="6151"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当系统无呼叫时信息发布时，展示本护理单元的信息发布视频</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外扩喇叭输出</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支持外接喇叭，呼叫播报及视频声音可在外扩喇叭外发声</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2.8</w:t>
      </w:r>
      <w:r>
        <w:rPr>
          <w:rFonts w:ascii="Times New Roman" w:hAnsi="Times New Roman" w:eastAsia="宋体" w:cs="Times New Roman"/>
          <w:color w:val="auto"/>
          <w:sz w:val="21"/>
          <w:szCs w:val="21"/>
          <w:highlight w:val="none"/>
        </w:rPr>
        <w:t xml:space="preserve">无线呼叫分机</w:t>
      </w:r>
      <w:r/>
    </w:p>
    <w:tbl>
      <w:tblPr>
        <w:tblStyle w:val="794"/>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883"/>
        <w:gridCol w:w="1129"/>
        <w:gridCol w:w="6163"/>
      </w:tblGrid>
      <w:tr>
        <w:trPr/>
        <w:tc>
          <w:tcPr>
            <w:tcW w:w="53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6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1129"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硬件要求</w:t>
            </w:r>
            <w:r/>
          </w:p>
        </w:tc>
        <w:tc>
          <w:tcPr>
            <w:tcW w:w="6163"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1.设备支持标准Lora通讯协议； </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▲2.设备符合</w:t>
            </w:r>
            <w:r>
              <w:rPr>
                <w:rFonts w:hint="eastAsia" w:ascii="Times New Roman" w:hAnsi="Times New Roman"/>
                <w:color w:val="auto"/>
                <w:szCs w:val="21"/>
                <w:highlight w:val="none"/>
              </w:rPr>
              <w:t xml:space="preserve">不低于</w:t>
            </w:r>
            <w:r>
              <w:rPr>
                <w:rFonts w:ascii="Times New Roman" w:hAnsi="Times New Roman"/>
                <w:color w:val="auto"/>
                <w:szCs w:val="21"/>
                <w:highlight w:val="none"/>
              </w:rPr>
              <w:t xml:space="preserve">IP6</w:t>
            </w:r>
            <w:r>
              <w:rPr>
                <w:rFonts w:hint="eastAsia" w:ascii="Times New Roman" w:hAnsi="Times New Roman"/>
                <w:color w:val="auto"/>
                <w:szCs w:val="21"/>
                <w:highlight w:val="none"/>
              </w:rPr>
              <w:t xml:space="preserve">7防护</w:t>
            </w:r>
            <w:r>
              <w:rPr>
                <w:rFonts w:ascii="Times New Roman" w:hAnsi="Times New Roman"/>
                <w:color w:val="auto"/>
                <w:szCs w:val="21"/>
                <w:highlight w:val="none"/>
              </w:rPr>
              <w:t xml:space="preserve">等级；</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w:t>
            </w:r>
            <w:r>
              <w:rPr>
                <w:rFonts w:ascii="Times New Roman" w:hAnsi="Times New Roman"/>
                <w:color w:val="auto"/>
                <w:szCs w:val="21"/>
                <w:highlight w:val="none"/>
              </w:rPr>
              <w:t xml:space="preserve">具备指示灯，指示灯≥3色</w:t>
            </w:r>
            <w:r>
              <w:rPr>
                <w:rFonts w:hint="eastAsia" w:ascii="Times New Roman" w:hAnsi="Times New Roman"/>
                <w:color w:val="auto"/>
                <w:szCs w:val="21"/>
                <w:highlight w:val="none"/>
              </w:rPr>
              <w:t xml:space="preserve">，方便亏电提示、叫通提示、待机提示。</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3.设备正常使用情况下续航时间不低于三年；</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4.设备按键不少于2个：呼叫按键×1、取消按键×1；便于患者操作。</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5.呼叫拉绳：选配支持，搭配防水吊坠，吊坠水平截面直径不小于40mm，可防止拉绳贴附墙面。</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软件要求</w:t>
            </w:r>
            <w:r/>
          </w:p>
        </w:tc>
        <w:tc>
          <w:tcPr>
            <w:tcW w:w="6163"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1.支持通过呼叫按键发出呼叫，显示端收到呼叫并广播；</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2.支持通过取消呼叫按键取消已发出的呼叫；</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3.状态指示灯可以指示呼叫分机的实时状态；</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▲4.支持自动检测电池电量，电量过低时提醒；</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5.支持OTA升级。</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6.与现有病房呼叫系统进行联动呼叫，实现无缝对接。</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2.9</w:t>
      </w:r>
      <w:r>
        <w:rPr>
          <w:rFonts w:ascii="Times New Roman" w:hAnsi="Times New Roman" w:eastAsia="宋体" w:cs="Times New Roman"/>
          <w:color w:val="auto"/>
          <w:sz w:val="21"/>
          <w:szCs w:val="21"/>
          <w:highlight w:val="none"/>
        </w:rPr>
        <w:t xml:space="preserve">智能物联网关</w:t>
      </w:r>
      <w:r/>
    </w:p>
    <w:tbl>
      <w:tblPr>
        <w:tblStyle w:val="794"/>
        <w:tblW w:w="8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883"/>
        <w:gridCol w:w="1140"/>
        <w:gridCol w:w="6165"/>
      </w:tblGrid>
      <w:tr>
        <w:trPr/>
        <w:tc>
          <w:tcPr>
            <w:tcW w:w="53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65"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114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硬件要求</w:t>
            </w:r>
            <w:r/>
          </w:p>
        </w:tc>
        <w:tc>
          <w:tcPr>
            <w:tcW w:w="6165"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1.支持主控芯片内置与外部独立芯片的双看门狗安全机制；</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2.通信模式支持标准</w:t>
            </w:r>
            <w:r>
              <w:rPr>
                <w:rFonts w:hint="eastAsia" w:ascii="Times New Roman" w:hAnsi="Times New Roman"/>
                <w:color w:val="auto"/>
                <w:szCs w:val="21"/>
                <w:highlight w:val="none"/>
              </w:rPr>
              <w:t xml:space="preserve">物联</w:t>
            </w:r>
            <w:r>
              <w:rPr>
                <w:rFonts w:ascii="Times New Roman" w:hAnsi="Times New Roman"/>
                <w:color w:val="auto"/>
                <w:szCs w:val="21"/>
                <w:highlight w:val="none"/>
              </w:rPr>
              <w:t xml:space="preserve">通讯协议通信；支持异频全双工</w:t>
            </w:r>
            <w:r>
              <w:rPr>
                <w:rFonts w:ascii="Times New Roman" w:hAnsi="Times New Roman"/>
                <w:b/>
                <w:bCs/>
                <w:color w:val="auto"/>
                <w:szCs w:val="21"/>
                <w:highlight w:val="none"/>
              </w:rPr>
              <w:t xml:space="preserve">；</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3.设备支持RJ45接口，RS232接口；</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4.设备具有金属外壳，保证强度，避免内部主板被静电、电磁波干扰。</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pStyle w:val="773"/>
              <w:rPr>
                <w:rFonts w:ascii="Times New Roman" w:hAnsi="Times New Roman"/>
                <w:color w:val="auto"/>
                <w:szCs w:val="21"/>
                <w:highlight w:val="none"/>
              </w:rPr>
            </w:pPr>
            <w:r>
              <w:rPr>
                <w:rFonts w:hint="eastAsia"/>
                <w:color w:val="auto"/>
                <w:highlight w:val="none"/>
              </w:rPr>
              <w:t xml:space="preserve">功能要求</w:t>
            </w:r>
            <w:r/>
          </w:p>
        </w:tc>
        <w:tc>
          <w:tcPr>
            <w:tcW w:w="6165"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1.具备状态自检功能，支持状态自检，异常状态自恢复；</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2.具备网络配置功能，支持使用专用配置工具进行网关配置、网关升级；</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3.具备智能物联网关的功能，能够接收和转发设备消息；</w:t>
            </w:r>
            <w:r/>
          </w:p>
        </w:tc>
      </w:tr>
    </w:tbl>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2.10 </w:t>
      </w:r>
      <w:r>
        <w:rPr>
          <w:rFonts w:ascii="Times New Roman" w:hAnsi="Times New Roman" w:eastAsia="宋体" w:cs="Times New Roman"/>
          <w:color w:val="auto"/>
          <w:sz w:val="21"/>
          <w:szCs w:val="21"/>
          <w:highlight w:val="none"/>
        </w:rPr>
        <w:t xml:space="preserve">ICU床头分机</w:t>
      </w:r>
      <w:r/>
    </w:p>
    <w:tbl>
      <w:tblPr>
        <w:tblStyle w:val="794"/>
        <w:tblW w:w="8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92"/>
        <w:gridCol w:w="5621"/>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9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2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1192"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21" w:type="dxa"/>
            <w:textDirection w:val="lrTb"/>
            <w:noWrap w:val="false"/>
          </w:tcPr>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▲1.安卓操作系统，版本号不低于Android 1</w:t>
            </w:r>
            <w:r>
              <w:rPr>
                <w:rFonts w:hint="eastAsia" w:ascii="Times New Roman" w:hAnsi="Times New Roman"/>
                <w:bCs/>
                <w:color w:val="auto"/>
                <w:szCs w:val="21"/>
                <w:highlight w:val="none"/>
              </w:rPr>
              <w:t xml:space="preserve">0.0</w:t>
            </w:r>
            <w:r>
              <w:rPr>
                <w:rFonts w:ascii="Times New Roman" w:hAnsi="Times New Roman"/>
                <w:bCs/>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2.</w:t>
            </w:r>
            <w:r>
              <w:rPr>
                <w:rFonts w:ascii="Times New Roman" w:hAnsi="Times New Roman"/>
                <w:bCs/>
                <w:color w:val="auto"/>
                <w:szCs w:val="21"/>
                <w:highlight w:val="none"/>
              </w:rPr>
              <w:t xml:space="preserve">尺寸不低于10.0英寸IPS屏</w:t>
            </w:r>
            <w:r>
              <w:rPr>
                <w:rFonts w:hint="eastAsia" w:ascii="Times New Roman" w:hAnsi="Times New Roman"/>
                <w:bCs/>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3.</w:t>
            </w:r>
            <w:r>
              <w:rPr>
                <w:rFonts w:ascii="Times New Roman" w:hAnsi="Times New Roman"/>
                <w:bCs/>
                <w:color w:val="auto"/>
                <w:szCs w:val="21"/>
                <w:highlight w:val="none"/>
              </w:rPr>
              <w:t xml:space="preserve">分辨率不低于1280*800；</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4.</w:t>
            </w:r>
            <w:r>
              <w:rPr>
                <w:rFonts w:ascii="Times New Roman" w:hAnsi="Times New Roman"/>
                <w:bCs/>
                <w:color w:val="auto"/>
                <w:szCs w:val="21"/>
                <w:highlight w:val="none"/>
              </w:rPr>
              <w:t xml:space="preserve">CPU不低于4核，主频不低于1.8GHz；</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5.</w:t>
            </w:r>
            <w:r>
              <w:rPr>
                <w:rFonts w:ascii="Times New Roman" w:hAnsi="Times New Roman"/>
                <w:bCs/>
                <w:color w:val="auto"/>
                <w:szCs w:val="21"/>
                <w:highlight w:val="none"/>
              </w:rPr>
              <w:t xml:space="preserve">运行内存不低于2G，</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6.</w:t>
            </w:r>
            <w:r>
              <w:rPr>
                <w:rFonts w:ascii="Times New Roman" w:hAnsi="Times New Roman"/>
                <w:bCs/>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773"/>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7.屏幕</w:t>
            </w:r>
            <w:r>
              <w:rPr>
                <w:rFonts w:ascii="Times New Roman" w:hAnsi="Times New Roman"/>
                <w:bCs/>
                <w:color w:val="auto"/>
                <w:szCs w:val="21"/>
                <w:highlight w:val="none"/>
              </w:rPr>
              <w:t xml:space="preserve">尺寸</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7英寸</w:t>
            </w:r>
            <w:r>
              <w:rPr>
                <w:rFonts w:hint="eastAsia" w:ascii="Times New Roman" w:hAnsi="Times New Roman"/>
                <w:bCs/>
                <w:color w:val="auto"/>
                <w:szCs w:val="21"/>
                <w:highlight w:val="none"/>
              </w:rPr>
              <w:t xml:space="preserve">；</w:t>
            </w:r>
            <w:r/>
          </w:p>
          <w:p>
            <w:pPr>
              <w:pStyle w:val="773"/>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w:t>
            </w:r>
            <w:r>
              <w:rPr>
                <w:rFonts w:ascii="Times New Roman" w:hAnsi="Times New Roman"/>
                <w:bCs/>
                <w:color w:val="auto"/>
                <w:szCs w:val="21"/>
                <w:highlight w:val="none"/>
              </w:rPr>
              <w:t xml:space="preserve">.电容触摸屏，防指纹，支持多点触控；具备前置摄像头，像素不低于800万；扬声器：双声道,采用下出音方式；支持WiFi：2.4G/5G双频；支持不低于蓝牙4.2；支持：光感模块、IC卡读卡模块；支持息屏物理按键。</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w:t>
            </w:r>
            <w:r>
              <w:rPr>
                <w:rFonts w:ascii="Times New Roman" w:hAnsi="Times New Roman"/>
                <w:bCs/>
                <w:color w:val="auto"/>
                <w:szCs w:val="21"/>
                <w:highlight w:val="none"/>
              </w:rPr>
              <w:t xml:space="preserve">接口：USB2.0、RJ45转接口、呼叫开关接口、扬声器转接口；</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w:t>
            </w:r>
            <w:r>
              <w:rPr>
                <w:rFonts w:ascii="Times New Roman" w:hAnsi="Times New Roman"/>
                <w:bCs/>
                <w:color w:val="auto"/>
                <w:szCs w:val="21"/>
                <w:highlight w:val="none"/>
              </w:rPr>
              <w:t xml:space="preserve">支持电源适配器供电、POE供电、电源箱集中供电三种方式。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护理呼叫</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呼叫联动</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床头分机发起呼叫时，可联动医护主机、医生助手、门口分机、走廊显示屏、值班室分机、门灯等终端设备联动，保障呼叫信息及时有效传递。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护理床头卡</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支持显示患者的各项信息，如姓名、床号、性别、年龄、入院日期、过敏史、饮食类型等基本信息以及防跌倒、防压疮、非计划拔管等预警信息，支持样式定制；</w:t>
            </w:r>
            <w:r/>
          </w:p>
        </w:tc>
      </w:tr>
      <w:tr>
        <w:trPr>
          <w:trHeight w:val="445"/>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智能宣教</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系统支持智能宣教和宣教状态的查询。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护理任务</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展示患者的护理类医嘱，方便护士执行时自主查询。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消息提醒</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具备自动提醒与手动推送两种形式，自动提醒支持欠费提醒、服药提醒、信息变更提醒、手术提醒、检查检验提醒等，手动推送支持对阅读状态的统计。</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诊疗信息</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支持查看患者住院期间诊疗信息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智能闹钟</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吸氧、皮试及其他辅助器械使用时，可设置闹钟计时提醒。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医疗计算器</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内置医疗计算器，包括“静脉补液滴速”“平均动脉压”“日胰岛素用量”等，护士输入完成相关项后，自动计算结果。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播放广播</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护士站医护主机进行广播时，床头分机可以播放相应广播内容。</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宕机呼叫</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服务器重启、宕机、停电等特殊情况均不影响正常患者向主机的呼叫功能。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屏幕亮度调整</w:t>
            </w:r>
            <w:r/>
          </w:p>
        </w:tc>
        <w:tc>
          <w:tcPr>
            <w:tcW w:w="5621"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终端音量调整</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支持后台配置多时间段终端音量，可根据医院作息灵活控制。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吸氧到时提醒</w:t>
            </w:r>
            <w:r/>
          </w:p>
        </w:tc>
        <w:tc>
          <w:tcPr>
            <w:tcW w:w="5621" w:type="dxa"/>
            <w:textDirection w:val="lrTb"/>
            <w:noWrap w:val="false"/>
          </w:tcPr>
          <w:p>
            <w:pPr>
              <w:jc w:val="left"/>
              <w:spacing w:line="360" w:lineRule="auto"/>
              <w:widowControl/>
              <w:rPr>
                <w:rFonts w:ascii="Times New Roman" w:hAnsi="Times New Roman"/>
                <w:color w:val="auto"/>
                <w:szCs w:val="21"/>
                <w:highlight w:val="none"/>
              </w:rPr>
            </w:pPr>
            <w:r>
              <w:rPr>
                <w:rFonts w:hint="eastAsia" w:ascii="宋体" w:hAnsi="宋体"/>
                <w:color w:val="auto"/>
                <w:szCs w:val="21"/>
                <w:highlight w:val="none"/>
              </w:rPr>
              <w:t xml:space="preserve">可手动设置吸氧时间，吸氧到时后可主动提醒“XX床吸氧结束”。</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回音消除</w:t>
            </w:r>
            <w:r/>
          </w:p>
        </w:tc>
        <w:tc>
          <w:tcPr>
            <w:tcW w:w="5621" w:type="dxa"/>
            <w:textDirection w:val="lrTb"/>
            <w:noWrap w:val="false"/>
          </w:tcPr>
          <w:p>
            <w:pPr>
              <w:jc w:val="left"/>
              <w:spacing w:line="360" w:lineRule="auto"/>
              <w:widowControl/>
              <w:rPr>
                <w:rFonts w:ascii="Times New Roman" w:hAnsi="Times New Roman"/>
                <w:color w:val="auto"/>
                <w:szCs w:val="21"/>
                <w:highlight w:val="none"/>
              </w:rPr>
            </w:pPr>
            <w:r>
              <w:rPr>
                <w:rFonts w:hint="eastAsia" w:ascii="宋体" w:hAnsi="宋体"/>
                <w:color w:val="auto"/>
                <w:szCs w:val="21"/>
                <w:highlight w:val="none"/>
              </w:rPr>
              <w:t xml:space="preserve">具备回音消除算法，优化通话噪音，提高通话质量。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自动增益</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患者或家属说话声音小时也可保证通话效果，无需护士到床头二次确认。</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噪音抑制</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通过噪音抑制法，降低通话中的环境噪音，提高通话质量。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网络抖动抑制</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可在弱网环境下提供高效网络传输、通话功能，提升用户通讯体验。</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硬件看门狗</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硬件看门狗设计，支持设备异常时自动重启功能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硬件重启</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支持通过实体组合按键，完成硬件重启功能，并设有防误触机制。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延时上电</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为防止多设备同时启动时瞬时电流过大，设备支持延时上电功能。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显示内容</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可根据医院需求拓展对接医疗资料、接入点餐、预约护工、游戏娱乐、问卷调查等非医疗服务。</w:t>
            </w:r>
            <w:r/>
          </w:p>
        </w:tc>
      </w:tr>
    </w:tbl>
    <w:p>
      <w:pPr>
        <w:rPr>
          <w:color w:val="auto"/>
          <w:highlight w:val="none"/>
        </w:rPr>
      </w:pPr>
      <w:r>
        <w:rPr>
          <w:color w:val="auto"/>
          <w:highlight w:val="none"/>
        </w:rPr>
      </w:r>
      <w:r/>
    </w:p>
    <w:p>
      <w:pPr>
        <w:rPr>
          <w:color w:val="auto"/>
          <w:highlight w:val="none"/>
        </w:rPr>
      </w:pPr>
      <w:r>
        <w:rPr>
          <w:color w:val="auto"/>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2.11</w:t>
      </w:r>
      <w:r>
        <w:rPr>
          <w:rFonts w:ascii="Times New Roman" w:hAnsi="Times New Roman" w:eastAsia="宋体" w:cs="Times New Roman"/>
          <w:color w:val="auto"/>
          <w:sz w:val="21"/>
          <w:szCs w:val="21"/>
          <w:highlight w:val="none"/>
        </w:rPr>
        <w:t xml:space="preserve">悬臂支架</w:t>
      </w:r>
      <w:r/>
    </w:p>
    <w:tbl>
      <w:tblPr>
        <w:tblStyle w:val="794"/>
        <w:tblW w:w="834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883"/>
        <w:gridCol w:w="1200"/>
        <w:gridCol w:w="5607"/>
      </w:tblGrid>
      <w:tr>
        <w:trPr/>
        <w:tc>
          <w:tcPr>
            <w:tcW w:w="6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支架长度</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支架展开最大长度不低于1200mm</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升降范围</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升降范围不低于500mm</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升降角度</w:t>
            </w:r>
            <w:r/>
          </w:p>
        </w:tc>
        <w:tc>
          <w:tcPr>
            <w:tcW w:w="5607" w:type="dxa"/>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升降角度不少于70°</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悬停重量</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0-2.5kg</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升降位置</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悬臂支架可升降，万向旋转，可在任意位置、任意角度悬停</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设备线路</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设备线束通过悬臂支架内部与设备连接，无外露线束</w:t>
            </w:r>
            <w:r/>
          </w:p>
        </w:tc>
      </w:tr>
      <w:tr>
        <w:trPr>
          <w:trHeight w:val="471"/>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耐久度</w:t>
            </w:r>
            <w:r/>
          </w:p>
        </w:tc>
        <w:tc>
          <w:tcPr>
            <w:tcW w:w="5607"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悬臂支架不少于20万次的耐久测试</w:t>
            </w:r>
            <w:r/>
          </w:p>
        </w:tc>
      </w:tr>
    </w:tbl>
    <w:p>
      <w:pPr>
        <w:jc w:val="left"/>
        <w:spacing w:line="360" w:lineRule="auto"/>
        <w:widowControl/>
        <w:rPr>
          <w:rFonts w:ascii="Times New Roman" w:hAnsi="Times New Roman"/>
          <w:bCs/>
          <w:color w:val="auto"/>
          <w:szCs w:val="21"/>
          <w:highlight w:val="none"/>
        </w:rPr>
      </w:pPr>
      <w:r>
        <w:rPr>
          <w:rFonts w:ascii="Times New Roman" w:hAnsi="Times New Roman"/>
          <w:bCs/>
          <w:color w:val="auto"/>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2.12</w:t>
      </w:r>
      <w:r>
        <w:rPr>
          <w:rFonts w:ascii="Times New Roman" w:hAnsi="Times New Roman" w:eastAsia="宋体" w:cs="Times New Roman"/>
          <w:color w:val="auto"/>
          <w:sz w:val="21"/>
          <w:szCs w:val="21"/>
          <w:highlight w:val="none"/>
        </w:rPr>
        <w:t xml:space="preserve">输液控制设备及AI输液识别系统</w:t>
      </w:r>
      <w:r/>
    </w:p>
    <w:tbl>
      <w:tblPr>
        <w:tblStyle w:val="794"/>
        <w:tblW w:w="83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883"/>
        <w:gridCol w:w="1200"/>
        <w:gridCol w:w="5619"/>
      </w:tblGrid>
      <w:tr>
        <w:trPr/>
        <w:tc>
          <w:tcPr>
            <w:tcW w:w="6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1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内部电池续航时长</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正常工作模式下≥480小时。</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适用场景</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1.适用于普通药液的输液。</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2.适用于避光型药液的输液。</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输液控制</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▲设备能够控制输液速度</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设备能够识别输液状态，且状态识别功能≥6种，</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ascii="Times New Roman" w:hAnsi="Times New Roman"/>
                <w:color w:val="auto"/>
                <w:szCs w:val="21"/>
                <w:highlight w:val="none"/>
              </w:rPr>
              <w:t xml:space="preserve">输液状态需包含但不限于输液完成状态、输液堵塞状态、输液速度过快状态、输液速度过慢状态、空气报警状态、低电量报警状态</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支持在输液完成时自动锁死输液管路并发出声光报警</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支持在输液管路进入空气时报出声光报警。</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一键复位</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可在输液完成状态、输液堵塞状态、输液速度过快状态、输液速度过慢状态、空气报警状态时启用一键复位。</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输液完成状态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准确识别出输液完成状态。</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输液堵塞状态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1.准确识别出输液堵塞状态。</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2.支持在输液堵塞时发出声光报警。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输液速度异常状态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1.准确识别出输液速度过快状态并发出声光报警。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2.准确识别出输液速度过慢状态并发出声光报警。</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空气报警状态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在输液过程中，能够有效的检测出输液管路中的空气，防止空气输入人体。</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设备状态报警</w:t>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支持在电池低电压时发出声光报警。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支持在滴壶移开时发出声光报警。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支持在设备故障时发出声光报警。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1</w:t>
            </w:r>
            <w:r/>
          </w:p>
        </w:tc>
        <w:tc>
          <w:tcPr>
            <w:tcW w:w="883"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智能输液管理软件</w:t>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智能提醒</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1.支持对不同的输液状态进行图像提醒及语音播报提醒。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2.支持将输液完成及输液异常的床位自动顶置。</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pStyle w:val="77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▲3.输液控制设备探测到输液管路中有空气时，系统发出声音及图像提醒。</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4.输液控制设备探测到当前输液堵塞、输液持续过快/过慢、输液完成时，系统发出声音及图像提醒。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5.输液控制设备当前电量过低时，系统发出声音及图像提醒。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6.输液控制设备探测到输液由异常状态恢复正常时，提醒图像恢复正常。</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7.支持自由设置堵塞报警延迟时间，延迟时间内恢复正常输液时不报警，未恢复时报警。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2</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病区输液信息统计与分析</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1.支持根据时间范围查询当前病区的输液情况，包含每台设备的使用次数，输液时长，输液总容量，开始输液时间，结束时间等。</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2.支持显示每台设备每次使用的滴速趋势图，以不同颜色区分正常输液以及输液异常。</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3.支持根据时间范围分析所选时间段的输液情况，以饼状图或柱状图显示当前病区各滴速区间的分布状况，输液总容量区间的分布状况，输液时长区间的分布状况，输液异常的分布状况。</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4.可查看当前在线设备的信号强度，状态，床位号以及MAC地址。</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3</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软件功能</w:t>
            </w:r>
            <w:r/>
          </w:p>
        </w:tc>
        <w:tc>
          <w:tcPr>
            <w:tcW w:w="5619" w:type="dxa"/>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1、可直接通过床头分机设备中的摄像头进行输液画面捕捉。</w:t>
            </w:r>
            <w:r>
              <w:rPr>
                <w:rFonts w:hint="eastAsia" w:ascii="Times New Roman" w:hAnsi="Times New Roman"/>
                <w:color w:val="auto"/>
                <w:szCs w:val="21"/>
                <w:highlight w:val="none"/>
              </w:rPr>
              <w:t xml:space="preserve">或</w:t>
            </w:r>
            <w:r>
              <w:rPr>
                <w:rFonts w:ascii="Times New Roman" w:hAnsi="Times New Roman"/>
                <w:color w:val="auto"/>
                <w:szCs w:val="21"/>
                <w:highlight w:val="none"/>
              </w:rPr>
              <w:t xml:space="preserve">支持图像采集扩展，对接外部第三方摄像头画面捕捉信息进行识别计算；</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、支持联动护士扫码，通过患者信息的联动，可唤起该患者床头分机开启摄像头的提示；</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、可识别输液中/输液完成/输液异常等状态，同时对药液余量百分比进行计算，可通过后台配置对异常/低阈值等状态进行告警推送配置，联动护士站主机/护理看板进行告警，同步发送异常画面以辅助人工判断；</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、支持阅后即删除，仅保留算法判断的状态画面以供决策，保障患者隐私；</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、当多药液进行排队输液时或进行换药操作时，支持自主识别正在输液中的药液袋/瓶；</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、支持配置画面获取间隔时间；</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、支持手动关闭监控画面（可配置）。</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2.13示范病房智能输液</w:t>
      </w:r>
      <w:r>
        <w:rPr>
          <w:rFonts w:ascii="Times New Roman" w:hAnsi="Times New Roman" w:eastAsia="宋体" w:cs="Times New Roman"/>
          <w:color w:val="auto"/>
          <w:sz w:val="21"/>
          <w:szCs w:val="21"/>
          <w:highlight w:val="none"/>
        </w:rPr>
        <w:t xml:space="preserve">物联网网关</w:t>
      </w:r>
      <w:r/>
    </w:p>
    <w:tbl>
      <w:tblPr>
        <w:tblStyle w:val="794"/>
        <w:tblW w:w="8373"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888"/>
        <w:gridCol w:w="1208"/>
        <w:gridCol w:w="5606"/>
      </w:tblGrid>
      <w:tr>
        <w:trPr/>
        <w:tc>
          <w:tcPr>
            <w:tcW w:w="67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8"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传输距离</w:t>
            </w:r>
            <w:r/>
          </w:p>
        </w:tc>
        <w:tc>
          <w:tcPr>
            <w:tcW w:w="560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室内有效传输距离≥100m。</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信息处理</w:t>
            </w:r>
            <w:r/>
          </w:p>
        </w:tc>
        <w:tc>
          <w:tcPr>
            <w:tcW w:w="560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支持接收和转发输液信息。</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8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传输要求</w:t>
            </w:r>
            <w:r/>
          </w:p>
        </w:tc>
        <w:tc>
          <w:tcPr>
            <w:tcW w:w="5606" w:type="dxa"/>
            <w:textDirection w:val="lrTb"/>
            <w:noWrap w:val="false"/>
          </w:tcPr>
          <w:p>
            <w:pPr>
              <w:spacing w:line="360" w:lineRule="auto"/>
              <w:rPr>
                <w:rFonts w:ascii="Times New Roman" w:hAnsi="Times New Roman"/>
                <w:b/>
                <w:color w:val="auto"/>
                <w:szCs w:val="21"/>
                <w:highlight w:val="none"/>
              </w:rPr>
            </w:pPr>
            <w:r>
              <w:rPr>
                <w:rFonts w:hint="eastAsia" w:ascii="宋体" w:hAnsi="宋体" w:cs="宋体"/>
                <w:i/>
                <w:iCs/>
                <w:color w:val="auto"/>
                <w:spacing w:val="1"/>
                <w:szCs w:val="21"/>
                <w:highlight w:val="none"/>
                <w:u w:val="single"/>
              </w:rPr>
              <w:t xml:space="preserve">★</w:t>
            </w:r>
            <w:r>
              <w:rPr>
                <w:rFonts w:ascii="Times New Roman" w:hAnsi="Times New Roman"/>
                <w:i/>
                <w:iCs/>
                <w:color w:val="auto"/>
                <w:szCs w:val="21"/>
                <w:highlight w:val="none"/>
                <w:u w:val="single"/>
              </w:rPr>
              <w:t xml:space="preserve">符合无线网络安全要求，无线网络发射设备具有无线电发射设备型号核准证。</w:t>
            </w:r>
            <w:r>
              <w:rPr>
                <w:rFonts w:ascii="Times New Roman" w:hAnsi="Times New Roman"/>
                <w:b/>
                <w:bCs/>
                <w:i/>
                <w:iCs/>
                <w:color w:val="auto"/>
                <w:szCs w:val="21"/>
                <w:highlight w:val="none"/>
                <w:u w:val="single"/>
              </w:rPr>
              <w:t xml:space="preserve">（提供工业和信息化部无线电管理局核发的《无线电发射设备型号核准证》</w:t>
            </w:r>
            <w:r>
              <w:rPr>
                <w:rFonts w:hint="eastAsia" w:ascii="Times New Roman" w:hAnsi="Times New Roman"/>
                <w:b/>
                <w:bCs/>
                <w:i/>
                <w:iCs/>
                <w:color w:val="auto"/>
                <w:szCs w:val="21"/>
                <w:highlight w:val="none"/>
                <w:u w:val="single"/>
              </w:rPr>
              <w:t xml:space="preserve">，上传系统</w:t>
            </w:r>
            <w:r>
              <w:rPr>
                <w:rFonts w:ascii="Times New Roman" w:hAnsi="Times New Roman"/>
                <w:b/>
                <w:bCs/>
                <w:i/>
                <w:iCs/>
                <w:color w:val="auto"/>
                <w:szCs w:val="21"/>
                <w:highlight w:val="none"/>
                <w:u w:val="single"/>
              </w:rPr>
              <w:t xml:space="preserve">）</w:t>
            </w:r>
            <w:r/>
          </w:p>
        </w:tc>
      </w:tr>
    </w:tbl>
    <w:p>
      <w:pPr>
        <w:rPr>
          <w:color w:val="auto"/>
          <w:highlight w:val="none"/>
        </w:rPr>
      </w:pPr>
      <w:r>
        <w:rPr>
          <w:color w:val="auto"/>
          <w:highlight w:val="none"/>
        </w:rPr>
      </w:r>
      <w:r/>
    </w:p>
    <w:p>
      <w:pPr>
        <w:pStyle w:val="758"/>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2.14</w:t>
      </w:r>
      <w:r>
        <w:rPr>
          <w:rFonts w:ascii="Times New Roman" w:hAnsi="Times New Roman" w:eastAsia="宋体" w:cs="Times New Roman"/>
          <w:color w:val="auto"/>
          <w:sz w:val="21"/>
          <w:szCs w:val="21"/>
          <w:highlight w:val="none"/>
        </w:rPr>
        <w:t xml:space="preserve">施工辅材</w:t>
      </w:r>
      <w:r/>
    </w:p>
    <w:tbl>
      <w:tblPr>
        <w:tblStyle w:val="794"/>
        <w:tblW w:w="8361"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87"/>
        <w:gridCol w:w="1208"/>
        <w:gridCol w:w="5607"/>
      </w:tblGrid>
      <w:tr>
        <w:trPr/>
        <w:tc>
          <w:tcPr>
            <w:tcW w:w="659"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7"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施工</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1、系统施工要求需确保线路清晰布局，设备精准安装，并通过严格测试验证系统稳定性与通讯质量。</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2、精确规划线路布局，确保信号传输无阻。</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3、严格遵循安装规范进行部署。</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4、系统</w:t>
            </w:r>
            <w:r>
              <w:rPr>
                <w:rFonts w:hint="eastAsia" w:ascii="Times New Roman" w:hAnsi="Times New Roman"/>
                <w:color w:val="auto"/>
                <w:szCs w:val="21"/>
                <w:highlight w:val="none"/>
              </w:rPr>
              <w:t xml:space="preserve">实施</w:t>
            </w:r>
            <w:r>
              <w:rPr>
                <w:rFonts w:ascii="Times New Roman" w:hAnsi="Times New Roman"/>
                <w:color w:val="auto"/>
                <w:szCs w:val="21"/>
                <w:highlight w:val="none"/>
              </w:rPr>
              <w:t xml:space="preserve">时需确保各组件兼容，操作流畅。</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5、完成安装后进行全面测试，验证系统稳定性与功能完整性。</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6、提供详尽的维护手册与培训，保障后续运营顺畅。</w:t>
            </w:r>
            <w:r/>
          </w:p>
        </w:tc>
      </w:tr>
      <w:tr>
        <w:trPr/>
        <w:tc>
          <w:tcPr>
            <w:tcW w:w="65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7"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辅材</w:t>
            </w:r>
            <w:r/>
          </w:p>
        </w:tc>
        <w:tc>
          <w:tcPr>
            <w:tcW w:w="5607"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施工辅材（含交换机、施工、辅材等，需满足系统设备的使用需求）</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bookmarkStart w:id="62" w:name="_Toc29995"/>
      <w:r/>
      <w:bookmarkStart w:id="63" w:name="_Toc55204181"/>
      <w:r>
        <w:rPr>
          <w:rFonts w:hint="eastAsia" w:ascii="宋体" w:hAnsi="宋体" w:cstheme="minorEastAsia"/>
          <w:b/>
          <w:bCs/>
          <w:color w:val="auto"/>
          <w:szCs w:val="21"/>
          <w:highlight w:val="none"/>
          <w:lang w:bidi="ar"/>
        </w:rPr>
        <w:t xml:space="preserve">注：招标文件中标注“</w:t>
      </w:r>
      <w:r>
        <w:rPr>
          <w:rFonts w:hint="eastAsia" w:ascii="Times New Roman" w:hAnsi="Times New Roman"/>
          <w:bCs/>
          <w:i w:val="0"/>
          <w:iCs w:val="0"/>
          <w:color w:val="auto"/>
          <w:szCs w:val="21"/>
          <w:highlight w:val="none"/>
        </w:rPr>
        <w:t xml:space="preserve">★</w:t>
      </w:r>
      <w:r>
        <w:rPr>
          <w:rFonts w:hint="eastAsia" w:ascii="宋体" w:hAnsi="宋体" w:cstheme="minorEastAsia"/>
          <w:b/>
          <w:bCs/>
          <w:color w:val="auto"/>
          <w:szCs w:val="21"/>
          <w:highlight w:val="none"/>
          <w:lang w:bidi="ar"/>
        </w:rPr>
        <w:t xml:space="preserve">”的参数内容为实质性要求，有一项不符合的，作无效投标处理。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三、演示部分：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ascii="Times New Roman" w:hAnsi="Times New Roman"/>
          <w:b/>
          <w:bCs/>
          <w:color w:val="auto"/>
          <w:szCs w:val="21"/>
          <w:highlight w:val="none"/>
        </w:rPr>
        <w:t xml:space="preserve">医护主机</w:t>
      </w:r>
      <w:r/>
    </w:p>
    <w:tbl>
      <w:tblPr>
        <w:tblStyle w:val="794"/>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409"/>
        <w:gridCol w:w="6091"/>
      </w:tblGrid>
      <w:tr>
        <w:trPr/>
        <w:tc>
          <w:tcPr>
            <w:tcW w:w="1025" w:type="dxa"/>
            <w:vAlign w:val="center"/>
            <w:vMerge w:val="restart"/>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医护主机</w:t>
            </w:r>
            <w:r/>
          </w:p>
        </w:tc>
        <w:tc>
          <w:tcPr>
            <w:tcW w:w="1409" w:type="dxa"/>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w:t>
            </w:r>
            <w:r/>
          </w:p>
        </w:tc>
        <w:tc>
          <w:tcPr>
            <w:tcW w:w="6091" w:type="dxa"/>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功能要求</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院感要求</w:t>
            </w:r>
            <w:r/>
          </w:p>
        </w:tc>
        <w:tc>
          <w:tcPr>
            <w:tcW w:w="6091"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ff0000"/>
                <w:szCs w:val="21"/>
                <w:highlight w:val="none"/>
              </w:rPr>
              <w:t xml:space="preserve">考虑医院场景下院感要求，主机物理外观设计应方便医院消毒清洁；主机内置一体化护理指示灯，可实现声光提示；通话手柄采用电磁感应设计，无外漏麦克风，无传统话机机械装置</w:t>
            </w:r>
            <w:r>
              <w:rPr>
                <w:rFonts w:hint="eastAsia" w:ascii="宋体" w:hAnsi="宋体" w:cs="宋体"/>
                <w:color w:val="ff0000"/>
                <w:szCs w:val="21"/>
                <w:highlight w:val="none"/>
                <w:lang w:eastAsia="zh-CN"/>
              </w:rPr>
              <w:t xml:space="preserve">；</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多路通话保持</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通话保持功能</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在WEB页面端，以科室单元进行配置，配置通话保持数量应≥5路分机；不少于5个床头分机依次发起呼叫，在护士站主机端可依次接听，且在接通1路通话的同时保持其余4路，并依次恢复通话；</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音视频互换</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床头分机与护士站主机在进行语音/视频通话时，两端都能主动进行语音和视频之间转换，且不中断当前通话；</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隐私通话</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护士站主机视频通话时可控制是否对方看到本机画面隐私通话，隐私通话开启后床头分机无法看到护士站主机画面；同时也支持在通话过程中关闭隐私通话；</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通话优先级</w:t>
            </w:r>
            <w:r/>
          </w:p>
        </w:tc>
        <w:tc>
          <w:tcPr>
            <w:tcW w:w="6091"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ff0000"/>
                <w:szCs w:val="21"/>
                <w:highlight w:val="none"/>
              </w:rPr>
              <w:t xml:space="preserve">医护主机通话优先级：支持床头分机、卫生间分机与护士站主机通话时，通话优先级打断(根据预先设置的优先级：卫生间优于床头通话。此仅为演示需要),高等级通话可以打断低等级通话</w:t>
            </w:r>
            <w:r>
              <w:rPr>
                <w:rFonts w:hint="eastAsia" w:ascii="宋体" w:hAnsi="宋体" w:cs="宋体"/>
                <w:color w:val="ff0000"/>
                <w:szCs w:val="21"/>
                <w:highlight w:val="none"/>
                <w:lang w:eastAsia="zh-CN"/>
              </w:rPr>
              <w:t xml:space="preserve">；</w:t>
            </w:r>
            <w:r/>
          </w:p>
        </w:tc>
      </w:tr>
      <w:tr>
        <w:trPr/>
        <w:tc>
          <w:tcPr>
            <w:tcW w:w="1025"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AI语音转文字功能</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护士站主机与床头分机通话时，护士站主机可实时将患者通话语音内容通过文字方式进行展示。</w:t>
            </w:r>
            <w:r/>
          </w:p>
        </w:tc>
      </w:tr>
    </w:tbl>
    <w:p>
      <w:pPr>
        <w:pStyle w:val="806"/>
        <w:rPr>
          <w:color w:val="auto"/>
          <w:highlight w:val="none"/>
        </w:rPr>
      </w:pPr>
      <w:r>
        <w:rPr>
          <w:color w:val="auto"/>
          <w:highlight w:val="none"/>
        </w:rPr>
      </w:r>
      <w:r/>
    </w:p>
    <w:p>
      <w:p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2、ICU床头分机</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1407"/>
        <w:gridCol w:w="6077"/>
      </w:tblGrid>
      <w:tr>
        <w:trPr/>
        <w:tc>
          <w:tcPr>
            <w:tcW w:w="1038" w:type="dxa"/>
            <w:vAlign w:val="center"/>
            <w:vMerge w:val="restart"/>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ICU床头分机</w:t>
            </w:r>
            <w:r/>
          </w:p>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功能要求</w:t>
            </w:r>
            <w:r/>
          </w:p>
        </w:tc>
      </w:tr>
      <w:tr>
        <w:trPr/>
        <w:tc>
          <w:tcPr>
            <w:tcW w:w="1038"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院感要求</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机采用全触屏设计，正面无任何物理按键，以符合院感要求，分机侧方或下方出音，以防灰尘异物等进入喇叭，也便于设备的消毒清洁；多功能呼叫手柄具备物理呼叫按键、物理换药按键、物理取消按键、具备LED灯、物理熄屏按键。</w:t>
            </w:r>
            <w:r/>
          </w:p>
        </w:tc>
      </w:tr>
      <w:tr>
        <w:trPr/>
        <w:tc>
          <w:tcPr>
            <w:tcW w:w="1038"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功能加密</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床头分机功能支持自定义的功能模块加密（如检查报告、医嘱等信息）；科室可按实际情况进行加密功能的自主管理。</w:t>
            </w:r>
            <w:r/>
          </w:p>
        </w:tc>
      </w:tr>
      <w:tr>
        <w:trPr/>
        <w:tc>
          <w:tcPr>
            <w:tcW w:w="1038" w:type="dxa"/>
            <w:vMerge w:val="continue"/>
            <w:textDirection w:val="lrTb"/>
            <w:noWrap w:val="false"/>
          </w:tcPr>
          <w:p>
            <w:pPr>
              <w:pStyle w:val="8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红外感应</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在床头分机前，屏幕可通过红外感应亮起，以供护士查看内容；红外模组可识别患者离开后，自动息屏；</w:t>
            </w:r>
            <w:r/>
          </w:p>
        </w:tc>
      </w:tr>
    </w:tbl>
    <w:p>
      <w:pPr>
        <w:pStyle w:val="806"/>
        <w:rPr>
          <w:color w:val="auto"/>
          <w:highlight w:val="none"/>
        </w:rPr>
      </w:pPr>
      <w:r>
        <w:rPr>
          <w:color w:val="auto"/>
          <w:highlight w:val="none"/>
        </w:rPr>
      </w:r>
      <w:r/>
    </w:p>
    <w:p>
      <w:pPr>
        <w:numPr>
          <w:ilvl w:val="0"/>
          <w:numId w:val="9"/>
        </w:num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门口分机</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1396"/>
        <w:gridCol w:w="6088"/>
      </w:tblGrid>
      <w:tr>
        <w:trPr/>
        <w:tc>
          <w:tcPr>
            <w:tcW w:w="1038" w:type="dxa"/>
            <w:vAlign w:val="center"/>
            <w:vMerge w:val="restart"/>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1396"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w:t>
            </w:r>
            <w:r/>
          </w:p>
        </w:tc>
        <w:tc>
          <w:tcPr>
            <w:tcW w:w="6088"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功能要求</w:t>
            </w:r>
            <w:r/>
          </w:p>
        </w:tc>
      </w:tr>
      <w:tr>
        <w:trPr/>
        <w:tc>
          <w:tcPr>
            <w:tcW w:w="1038" w:type="dxa"/>
            <w:vMerge w:val="continue"/>
            <w:textDirection w:val="lrTb"/>
            <w:noWrap w:val="false"/>
          </w:tcPr>
          <w:p>
            <w:pPr>
              <w:pStyle w:val="806"/>
              <w:spacing w:line="360" w:lineRule="auto"/>
              <w:rPr>
                <w:color w:val="auto"/>
                <w:highlight w:val="none"/>
              </w:rPr>
            </w:pPr>
            <w:r>
              <w:rPr>
                <w:color w:val="auto"/>
                <w:highlight w:val="none"/>
              </w:rPr>
            </w:r>
            <w:r/>
          </w:p>
        </w:tc>
        <w:tc>
          <w:tcPr>
            <w:tcW w:w="1396" w:type="dxa"/>
            <w:textDirection w:val="lrTb"/>
            <w:noWrap w:val="false"/>
          </w:tcPr>
          <w:p>
            <w:pPr>
              <w:jc w:val="left"/>
              <w:spacing w:line="360" w:lineRule="auto"/>
              <w:rPr>
                <w:color w:val="auto"/>
                <w:highlight w:val="none"/>
              </w:rPr>
            </w:pPr>
            <w:r>
              <w:rPr>
                <w:rFonts w:hint="eastAsia" w:ascii="Times New Roman" w:hAnsi="Times New Roman"/>
                <w:color w:val="auto"/>
                <w:szCs w:val="21"/>
                <w:highlight w:val="none"/>
              </w:rPr>
              <w:t xml:space="preserve">护士定位和灯光提醒</w:t>
            </w:r>
            <w:r/>
          </w:p>
        </w:tc>
        <w:tc>
          <w:tcPr>
            <w:tcW w:w="6088" w:type="dxa"/>
            <w:textDirection w:val="lrTb"/>
            <w:noWrap w:val="false"/>
          </w:tcPr>
          <w:p>
            <w:pPr>
              <w:spacing w:line="360" w:lineRule="auto"/>
              <w:rPr>
                <w:color w:val="auto"/>
                <w:highlight w:val="none"/>
              </w:rPr>
            </w:pPr>
            <w:r>
              <w:rPr>
                <w:rFonts w:hint="eastAsia" w:ascii="Times New Roman" w:hAnsi="Times New Roman"/>
                <w:bCs/>
                <w:color w:val="ff0000"/>
                <w:szCs w:val="21"/>
                <w:highlight w:val="none"/>
              </w:rPr>
              <w:t xml:space="preserve">门口分机具有护士定位按键：护士可通过门口机进行护士定位，当该房间无床位呼叫时走廊屏显示护士所在房间，多房间有护士进入时，走廊屏可显示多个护士所在房间；分机内置一体化门灯，便于护士观察，支持不同呼叫级别和呼叫类型的区分颜色，同时进行声音提示。</w:t>
            </w:r>
            <w:r/>
          </w:p>
        </w:tc>
      </w:tr>
    </w:tbl>
    <w:p>
      <w:pPr>
        <w:pStyle w:val="806"/>
        <w:rPr>
          <w:color w:val="auto"/>
          <w:highlight w:val="none"/>
        </w:rPr>
      </w:pPr>
      <w:r>
        <w:rPr>
          <w:color w:val="auto"/>
          <w:highlight w:val="none"/>
        </w:rPr>
      </w:r>
      <w:r/>
    </w:p>
    <w:p>
      <w:p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r>
      <w:r/>
    </w:p>
    <w:p>
      <w:pPr>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w:t>
      </w:r>
      <w:r>
        <w:rPr>
          <w:rFonts w:ascii="Times New Roman" w:hAnsi="Times New Roman"/>
          <w:b/>
          <w:bCs/>
          <w:color w:val="auto"/>
          <w:szCs w:val="21"/>
          <w:highlight w:val="none"/>
        </w:rPr>
        <w:t xml:space="preserve">AI输液识别系统</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1419"/>
        <w:gridCol w:w="6077"/>
      </w:tblGrid>
      <w:tr>
        <w:trPr/>
        <w:tc>
          <w:tcPr>
            <w:tcW w:w="1026" w:type="dxa"/>
            <w:vAlign w:val="center"/>
            <w:vMerge w:val="restart"/>
            <w:textDirection w:val="lrTb"/>
            <w:noWrap w:val="false"/>
          </w:tcPr>
          <w:p>
            <w:pPr>
              <w:pStyle w:val="806"/>
              <w:rPr>
                <w:color w:val="auto"/>
                <w:highlight w:val="none"/>
              </w:rPr>
            </w:pPr>
            <w:r>
              <w:rPr>
                <w:rFonts w:ascii="Times New Roman" w:eastAsia="宋体"/>
                <w:color w:val="auto"/>
                <w:sz w:val="21"/>
                <w:szCs w:val="21"/>
                <w:highlight w:val="none"/>
              </w:rPr>
              <w:t xml:space="preserve">AI输液识别系统</w:t>
            </w:r>
            <w:r/>
          </w:p>
        </w:tc>
        <w:tc>
          <w:tcPr>
            <w:tcW w:w="1419"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w:t>
            </w:r>
            <w:r/>
          </w:p>
        </w:tc>
        <w:tc>
          <w:tcPr>
            <w:tcW w:w="6077"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功能要求</w:t>
            </w:r>
            <w:r/>
          </w:p>
        </w:tc>
      </w:tr>
      <w:tr>
        <w:trPr/>
        <w:tc>
          <w:tcPr>
            <w:tcW w:w="1026" w:type="dxa"/>
            <w:vMerge w:val="continue"/>
            <w:textDirection w:val="lrTb"/>
            <w:noWrap w:val="false"/>
          </w:tcPr>
          <w:p>
            <w:pPr>
              <w:pStyle w:val="806"/>
              <w:rPr>
                <w:color w:val="auto"/>
                <w:highlight w:val="none"/>
              </w:rPr>
            </w:pPr>
            <w:r>
              <w:rPr>
                <w:color w:val="auto"/>
                <w:highlight w:val="none"/>
              </w:rPr>
            </w:r>
            <w:r/>
          </w:p>
        </w:tc>
        <w:tc>
          <w:tcPr>
            <w:tcW w:w="1419" w:type="dxa"/>
            <w:textDirection w:val="lrTb"/>
            <w:noWrap w:val="false"/>
          </w:tcPr>
          <w:p>
            <w:pPr>
              <w:spacing w:line="360" w:lineRule="auto"/>
              <w:rPr>
                <w:color w:val="auto"/>
                <w:highlight w:val="none"/>
              </w:rPr>
            </w:pPr>
            <w:r>
              <w:rPr>
                <w:rFonts w:hint="eastAsia" w:ascii="Times New Roman" w:hAnsi="Times New Roman"/>
                <w:color w:val="auto"/>
                <w:szCs w:val="21"/>
                <w:highlight w:val="none"/>
              </w:rPr>
              <w:t xml:space="preserve">AI输液识别</w:t>
            </w:r>
            <w:r/>
          </w:p>
        </w:tc>
        <w:tc>
          <w:tcPr>
            <w:tcW w:w="6077" w:type="dxa"/>
            <w:textDirection w:val="lrTb"/>
            <w:noWrap w:val="false"/>
          </w:tcPr>
          <w:p>
            <w:pPr>
              <w:spacing w:line="360" w:lineRule="auto"/>
              <w:widowControl/>
              <w:rPr>
                <w:color w:val="auto"/>
                <w:highlight w:val="none"/>
              </w:rPr>
            </w:pPr>
            <w:r>
              <w:rPr>
                <w:rFonts w:hint="eastAsia" w:ascii="Times New Roman" w:hAnsi="Times New Roman"/>
                <w:color w:val="auto"/>
                <w:szCs w:val="21"/>
                <w:highlight w:val="none"/>
              </w:rPr>
              <w:t xml:space="preserve">在护理人员挂好输液袋/瓶后，支持无碰触开始/结束监控任务；支持合并输液报警器滴速及状态参数，对输液监控大屏界面进行统一展示；应展示输液状态、已输量、即将结束报警和空瓶报警等内容，出于隐私考虑，支持自动裁剪拍摄画面仅保留关键部位，并对画面中其他区域自动打码。</w:t>
            </w:r>
            <w:r/>
          </w:p>
        </w:tc>
      </w:tr>
    </w:tbl>
    <w:p>
      <w:pPr>
        <w:pStyle w:val="806"/>
        <w:rPr>
          <w:color w:val="auto"/>
          <w:highlight w:val="none"/>
        </w:rPr>
      </w:pP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四、项目商务要求</w:t>
      </w:r>
      <w:r/>
    </w:p>
    <w:p>
      <w:pPr>
        <w:pStyle w:val="775"/>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1、项目管理与实施要求：</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1.1投标人应具有健全的项目管理制度和流程，以及合格的项目实施人员，对项目建设进全过程质量管理，确保项目实施的顺利。</w:t>
      </w:r>
      <w:r/>
    </w:p>
    <w:p>
      <w:pPr>
        <w:pStyle w:val="776"/>
        <w:ind w:firstLine="420"/>
        <w:spacing w:line="360" w:lineRule="auto"/>
        <w:rPr>
          <w:color w:val="auto"/>
          <w:highlight w:val="none"/>
        </w:rPr>
      </w:pPr>
      <w:r>
        <w:rPr>
          <w:rFonts w:hint="eastAsia" w:ascii="宋体" w:hAnsi="宋体" w:cs="宋体"/>
          <w:color w:val="auto"/>
          <w:szCs w:val="21"/>
          <w:highlight w:val="none"/>
        </w:rPr>
        <w:t xml:space="preserve">项目实施人员：保障项目在管理、技术、安全及运维等多方面高质量交付和长期可靠运行，本项目要求投标人具备专业的人员团队，以确保其具备规范、安全、稳定的信息技术服务与运维保障能力。针对本项目须配备至少4名核心人员（其中包括项目负责人1名、技术安全负责人1名和团队其他人员2名），项目组成员在项目实施过程中不得随意变更，如需变更必须得到采购人同意。</w:t>
      </w:r>
      <w:r/>
    </w:p>
    <w:p>
      <w:pPr>
        <w:ind w:firstLine="420"/>
        <w:spacing w:line="360" w:lineRule="auto"/>
        <w:rPr>
          <w:color w:val="auto"/>
          <w:highlight w:val="none"/>
        </w:rPr>
      </w:pPr>
      <w:r>
        <w:rPr>
          <w:rFonts w:hint="eastAsia" w:ascii="宋体" w:hAnsi="宋体" w:cs="宋体"/>
          <w:color w:val="auto"/>
          <w:szCs w:val="21"/>
          <w:highlight w:val="none"/>
        </w:rPr>
        <w:t xml:space="preserve">1.2投标人应提供项目总体实施安装调试方案，包括但不限于（1）项目人员组织保障、（2）项目实施计划、（3）项目实施关键要素分析。</w:t>
      </w:r>
      <w:r/>
    </w:p>
    <w:p>
      <w:pPr>
        <w:pStyle w:val="775"/>
        <w:numPr>
          <w:ilvl w:val="0"/>
          <w:numId w:val="10"/>
        </w:numPr>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售后服务要求：</w:t>
      </w:r>
      <w:r/>
    </w:p>
    <w:p>
      <w:pPr>
        <w:pStyle w:val="773"/>
        <w:ind w:firstLine="420"/>
        <w:spacing w:line="360" w:lineRule="auto"/>
        <w:rPr>
          <w:color w:val="auto"/>
          <w:highlight w:val="none"/>
        </w:rPr>
      </w:pPr>
      <w:r>
        <w:rPr>
          <w:rFonts w:hint="eastAsia" w:ascii="宋体" w:hAnsi="宋体" w:cs="宋体"/>
          <w:color w:val="auto"/>
          <w:szCs w:val="21"/>
          <w:highlight w:val="none"/>
        </w:rPr>
        <w:t xml:space="preserve">2.1</w:t>
      </w:r>
      <w:r>
        <w:rPr>
          <w:rFonts w:hint="eastAsia"/>
          <w:color w:val="auto"/>
          <w:highlight w:val="none"/>
        </w:rPr>
        <w:t xml:space="preserve">本项目质保期不少于五年，</w:t>
      </w:r>
      <w:r>
        <w:rPr>
          <w:rFonts w:hint="eastAsia" w:ascii="宋体" w:hAnsi="宋体" w:cs="宋体"/>
          <w:color w:val="auto"/>
          <w:szCs w:val="21"/>
          <w:highlight w:val="none"/>
        </w:rPr>
        <w:t xml:space="preserve">质量保修期间产生的所有保修相关费用（包括但不限于人工费、备品备件、耗材、服务费、税金以及保修期间涉及到的系统升级以及其他一切费用）全部由投标人承担。</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（2）在保修期外，投标人为</w:t>
      </w:r>
      <w:r>
        <w:rPr>
          <w:rFonts w:hint="eastAsia" w:ascii="宋体" w:hAnsi="宋体" w:eastAsia="宋体" w:cs="宋体"/>
          <w:color w:val="auto"/>
          <w:highlight w:val="none"/>
        </w:rPr>
        <w:t xml:space="preserve">货物</w:t>
      </w:r>
      <w:r>
        <w:rPr>
          <w:rFonts w:hint="eastAsia" w:ascii="宋体" w:hAnsi="宋体" w:eastAsia="宋体" w:cs="宋体"/>
          <w:color w:val="auto"/>
          <w:szCs w:val="21"/>
          <w:highlight w:val="none"/>
        </w:rPr>
        <w:t xml:space="preserve">提供终身维修服务，维修问题出现时，按技术参数服务要求相应条款处理。</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（3）在保修期内，如果原厂方鉴定设备因为人为损坏，厂方须出具具有法定权威性第三方检测证明，否则一律视为保修范围内容处理。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（4）中标人应该在项目的实施过程中提供操作支持服务（包括但不限于）：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1）对影响到系统平稳作业以及操作使用的问题解答与分析，并提出解决方案；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2）对所有的维护活动进行记录，并形成规范的文档，例如记录时间、地点、原因等，最后还要注明完成的时间和人员；</w:t>
      </w:r>
      <w:r/>
    </w:p>
    <w:p>
      <w:pPr>
        <w:pStyle w:val="776"/>
        <w:ind w:firstLine="420"/>
        <w:spacing w:line="360" w:lineRule="auto"/>
        <w:rPr>
          <w:color w:val="auto"/>
          <w:highlight w:val="none"/>
        </w:rPr>
      </w:pPr>
      <w:r>
        <w:rPr>
          <w:rFonts w:hint="eastAsia" w:ascii="宋体" w:hAnsi="宋体" w:cs="宋体"/>
          <w:color w:val="auto"/>
          <w:szCs w:val="21"/>
          <w:highlight w:val="none"/>
        </w:rPr>
        <w:t xml:space="preserve">3）中标人提供7*24小时服务，2小时内远程响应，4小时内故障解决。</w:t>
      </w:r>
      <w:r/>
    </w:p>
    <w:p>
      <w:pPr>
        <w:ind w:firstLine="420"/>
        <w:spacing w:line="360" w:lineRule="auto"/>
        <w:rPr>
          <w:color w:val="auto"/>
          <w:highlight w:val="none"/>
        </w:rPr>
      </w:pPr>
      <w:r>
        <w:rPr>
          <w:rFonts w:hint="eastAsia" w:ascii="宋体" w:hAnsi="宋体" w:cs="宋体"/>
          <w:color w:val="auto"/>
          <w:szCs w:val="21"/>
          <w:highlight w:val="none"/>
        </w:rPr>
        <w:t xml:space="preserve">2.2</w:t>
      </w:r>
      <w:r>
        <w:rPr>
          <w:rFonts w:hint="eastAsia"/>
          <w:color w:val="auto"/>
          <w:highlight w:val="none"/>
        </w:rPr>
        <w:t xml:space="preserve">投标人应提供项目售后服务方案，包括但不限于（1）服务体系、（2）服务保障、（3）服务内容、（4）服务流程、（5）应急响应服务。</w:t>
      </w:r>
      <w:r/>
    </w:p>
    <w:p>
      <w:pPr>
        <w:pStyle w:val="775"/>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3、培训要求：</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3.1负责对采购人、最终用户的操作、维修人员在项目所在地进行业务培训，并应达到能熟练操作并能排除常见故障的标准；</w:t>
      </w:r>
      <w:r/>
    </w:p>
    <w:p>
      <w:pPr>
        <w:ind w:firstLine="420"/>
        <w:spacing w:line="360" w:lineRule="auto"/>
        <w:rPr>
          <w:color w:val="auto"/>
          <w:highlight w:val="none"/>
        </w:rPr>
      </w:pPr>
      <w:r>
        <w:rPr>
          <w:rFonts w:hint="eastAsia" w:ascii="宋体" w:hAnsi="宋体" w:cs="宋体"/>
          <w:color w:val="auto"/>
          <w:szCs w:val="21"/>
          <w:highlight w:val="none"/>
        </w:rPr>
        <w:t xml:space="preserve">3.2投标人应提供项目培训方案，包括但不限于（1）培训人员配置、（2）培训内容、（3）培训策略。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4、验收要求：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自验收合格之日起，所有设备至少提供五年质保，质保期内免费维保。维保期满后，中标人须提供最优惠的维修价格（人工费、出厂价零配件费、其他材料费等）进行相关服务，在货物寿命期内，中标人应能保证招标人更换到原厂正宗的零部件，保证维修配备。</w:t>
      </w:r>
      <w:r/>
    </w:p>
    <w:p>
      <w:pPr>
        <w:ind w:firstLine="422"/>
        <w:spacing w:line="360" w:lineRule="auto"/>
        <w:rPr>
          <w:rFonts w:hint="eastAsia" w:ascii="宋体" w:hAnsi="宋体" w:cs="宋体"/>
          <w:color w:val="auto"/>
          <w:szCs w:val="21"/>
          <w:highlight w:val="none"/>
        </w:rPr>
      </w:pPr>
      <w:r>
        <w:rPr>
          <w:rFonts w:hint="eastAsia"/>
          <w:b/>
          <w:bCs/>
          <w:color w:val="auto"/>
          <w:highlight w:val="none"/>
        </w:rPr>
        <w:t xml:space="preserve">4.2</w:t>
      </w:r>
      <w:r>
        <w:rPr>
          <w:rFonts w:hint="eastAsia"/>
          <w:b/>
          <w:bCs/>
          <w:i/>
          <w:iCs/>
          <w:color w:val="auto"/>
          <w:highlight w:val="none"/>
          <w:u w:val="single"/>
        </w:rPr>
        <w:t xml:space="preserve">本项目质保期外硬件部分维保费不得高于硬件价格的6%，软件部分维保费不得高于软件价格的8%。</w:t>
      </w:r>
      <w:r>
        <w:rPr>
          <w:rFonts w:hint="eastAsia" w:ascii="宋体" w:hAnsi="宋体" w:cs="宋体"/>
          <w:b/>
          <w:bCs/>
          <w:i/>
          <w:iCs/>
          <w:color w:val="auto"/>
          <w:szCs w:val="21"/>
          <w:highlight w:val="none"/>
          <w:u w:val="single"/>
        </w:rPr>
        <w:t xml:space="preserve">（提供承诺书，格式自拟，扫描件系统上传）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4.3产品交付前，中标人应对产品进行全面自检，符合采购人要求的交付条件后，由中标人发起验收申请，采购人评估后组织验收。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4.4采购人在交货前有权对中标人提供的产品、技术、服务提出异议，并采取相关措施确保质量合格。</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4.5产品验收不合格，采购人有权拒收和解除采购合同，由此造成的损失，由中标人承担。配件的供应和及时维修，维修价格保持不变（政策调整因素除外）。</w:t>
      </w:r>
      <w:r/>
    </w:p>
    <w:p>
      <w:pPr>
        <w:pStyle w:val="776"/>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因中标方所提供产品的安装、调试或运行，对采购人病区的医疗秩序、环境卫生、患者安全或设备设施造成重大不利影响的，视为中标人违约。采购人有权单方解除合同，合同解除后，采购人有权更换供应商，原中标方必须承担采购人因此遭受的全部直接和间接损失，包括但不限于重新采购的额外费用、工期延误损失及对其他第三方的赔偿。</w:t>
      </w:r>
      <w:r/>
    </w:p>
    <w:p>
      <w:pPr>
        <w:pStyle w:val="776"/>
        <w:ind w:firstLine="422"/>
        <w:spacing w:line="360" w:lineRule="auto"/>
        <w:rPr>
          <w:rFonts w:hint="default" w:ascii="宋体" w:hAnsi="宋体" w:eastAsia="宋体" w:cs="宋体"/>
          <w:b/>
          <w:bCs/>
          <w:color w:val="ff0000"/>
          <w:szCs w:val="21"/>
          <w:highlight w:val="none"/>
          <w:u w:val="single"/>
          <w:lang w:val="en-US" w:eastAsia="zh-CN"/>
        </w:rPr>
      </w:pPr>
      <w:r>
        <w:rPr>
          <w:rFonts w:hint="eastAsia" w:ascii="宋体" w:hAnsi="宋体" w:cs="宋体"/>
          <w:b/>
          <w:bCs/>
          <w:color w:val="ff0000"/>
          <w:szCs w:val="21"/>
          <w:highlight w:val="none"/>
          <w:u w:val="none"/>
          <w:lang w:val="en-US" w:eastAsia="zh-CN"/>
        </w:rPr>
        <w:t xml:space="preserve">4.7</w:t>
      </w:r>
      <w:r>
        <w:rPr>
          <w:rFonts w:hint="eastAsia" w:ascii="宋体" w:hAnsi="宋体" w:cs="宋体"/>
          <w:b/>
          <w:bCs/>
          <w:i/>
          <w:iCs/>
          <w:color w:val="ff0000"/>
          <w:szCs w:val="21"/>
          <w:highlight w:val="none"/>
          <w:u w:val="single"/>
          <w:lang w:val="en-US" w:eastAsia="zh-CN"/>
        </w:rPr>
        <w:t xml:space="preserve">为确保智慧病房的产品功能的实现和使用安全，投标人需承诺中标后提供所投产品外观设计、功能、安装方式以及与病房环境安全要求的详细设计方案给采购人确认，并根据现场实际情况做出适当调整。（提供承诺书，格式自拟，扫描件系统上传）</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5、保密要求</w:t>
      </w:r>
      <w:r/>
    </w:p>
    <w:p>
      <w:pPr>
        <w:ind w:firstLine="422"/>
        <w:spacing w:line="360" w:lineRule="auto"/>
        <w:rPr>
          <w:b/>
          <w:bCs/>
          <w:color w:val="auto"/>
          <w:highlight w:val="none"/>
        </w:rPr>
      </w:pPr>
      <w:r>
        <w:rPr>
          <w:rFonts w:hint="eastAsia" w:ascii="宋体" w:hAnsi="宋体" w:cs="宋体"/>
          <w:b/>
          <w:bCs/>
          <w:i/>
          <w:iCs/>
          <w:color w:val="auto"/>
          <w:szCs w:val="21"/>
          <w:highlight w:val="none"/>
          <w:u w:val="single"/>
        </w:rPr>
        <w:t xml:space="preserve">投标人不得向第三方泄露采购人提供的技术文件等资料。（提供承诺书，格式自拟，扫描件系统上传）</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6、交货地点：采购人指定地点</w:t>
      </w:r>
      <w:r/>
    </w:p>
    <w:p>
      <w:pPr>
        <w:pStyle w:val="775"/>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项目为交钥匙项目，项目包含货物制作、安装、调试验收等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供货周期：签订合同后90个日历天内完成所有项目内容并通过验收交付使用。货物由中标人运至招标人指定地点，验收交货前存放及保管概由投标人负责。货物材料的包装均应有良好的防湿、防锈、防潮、防雨、防腐及防碰撞的措施。凡由于包装不良造成的损失和由此产生的费用均由投标人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六、节能产品要求</w:t>
      </w:r>
      <w:r/>
    </w:p>
    <w:p>
      <w:pPr>
        <w:ind w:firstLine="420"/>
        <w:jc w:val="left"/>
        <w:spacing w:line="360" w:lineRule="auto"/>
        <w:rPr>
          <w:rFonts w:hint="eastAsia" w:ascii="宋体" w:hAnsi="宋体" w:cs="宋体"/>
          <w:i/>
          <w:iCs/>
          <w:color w:val="auto"/>
          <w:szCs w:val="21"/>
          <w:highlight w:val="none"/>
          <w:u w:val="single"/>
        </w:rPr>
      </w:pPr>
      <w:r>
        <w:rPr>
          <w:rFonts w:hint="eastAsia" w:ascii="宋体" w:hAnsi="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pStyle w:val="955"/>
        <w:jc w:val="center"/>
        <w:spacing w:line="360" w:lineRule="auto"/>
        <w:rPr>
          <w:rFonts w:hint="eastAsia" w:ascii="宋体" w:hAnsi="宋体" w:cs="宋体"/>
          <w:color w:val="auto"/>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6"/>
          <w:highlight w:val="none"/>
        </w:rPr>
      </w:r>
      <w:r/>
    </w:p>
    <w:p>
      <w:pPr>
        <w:pStyle w:val="757"/>
        <w:numPr>
          <w:ilvl w:val="0"/>
          <w:numId w:val="0"/>
        </w:numPr>
        <w:ind w:left="392"/>
        <w:rPr>
          <w:color w:val="auto"/>
          <w:highlight w:val="none"/>
        </w:rPr>
      </w:pPr>
      <w:r>
        <w:rPr>
          <w:rFonts w:hint="eastAsia"/>
          <w:color w:val="auto"/>
          <w:highlight w:val="none"/>
        </w:rPr>
        <w:t xml:space="preserve">第五章 评标方法及评标标准</w:t>
      </w:r>
      <w:bookmarkEnd w:id="62"/>
      <w:r/>
      <w:bookmarkEnd w:id="63"/>
      <w:r/>
      <w:r/>
    </w:p>
    <w:p>
      <w:pPr>
        <w:pStyle w:val="98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87"/>
        <w:ind w:firstLine="420"/>
        <w:spacing w:before="0" w:after="0"/>
        <w:rPr>
          <w:rFonts w:hint="eastAsia" w:ascii="宋体" w:hAnsi="宋体" w:cs="宋体"/>
          <w:color w:val="auto"/>
          <w:sz w:val="21"/>
          <w:szCs w:val="21"/>
          <w:highlight w:val="none"/>
        </w:rPr>
      </w:pPr>
      <w:r/>
      <w:bookmarkStart w:id="64" w:name="_Toc449017024"/>
      <w:r/>
      <w:bookmarkStart w:id="65"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4"/>
      <w:r/>
      <w:bookmarkEnd w:id="65"/>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8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67"/>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21"/>
        <w:gridCol w:w="1064"/>
        <w:gridCol w:w="5787"/>
        <w:gridCol w:w="541"/>
      </w:tblGrid>
      <w:tr>
        <w:trPr>
          <w:jc w:val="center"/>
          <w:trHeight w:val="20"/>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分值</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分配</w:t>
            </w:r>
            <w:r/>
          </w:p>
        </w:tc>
      </w:tr>
      <w:tr>
        <w:trPr>
          <w:jc w:val="center"/>
          <w:trHeight w:val="20"/>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报价评分</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以满足招标文件要求的最低投标报价为评标基准价，得满分30分，其他投标报价得分=(评标基准价／其他投标报价)×30×100%。（保留两位小数）</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r/>
          </w:p>
        </w:tc>
      </w:tr>
      <w:tr>
        <w:trPr>
          <w:jc w:val="center"/>
          <w:trHeight w:val="925"/>
        </w:trPr>
        <w:tc>
          <w:tcPr>
            <w:tcBorders>
              <w:top w:val="single" w:color="auto" w:sz="4" w:space="0"/>
              <w:left w:val="single" w:color="auto" w:sz="4" w:space="0"/>
              <w:right w:val="single" w:color="auto" w:sz="4" w:space="0"/>
            </w:tcBorders>
            <w:tcW w:w="554" w:type="pct"/>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商务部分（11分）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投标人或核心产品制造商自2022年1月1日以来(以合同签订时间准)，承担过与本项目类似业绩合同，每提供一份得1分，满分4分。</w:t>
            </w:r>
            <w:r>
              <w:rPr>
                <w:rFonts w:hint="eastAsia" w:ascii="宋体" w:hAnsi="宋体"/>
                <w:b/>
                <w:bCs/>
                <w:color w:val="auto"/>
                <w:szCs w:val="21"/>
                <w:highlight w:val="none"/>
              </w:rPr>
              <w:t xml:space="preserve">（提供合同扫描件系统上传，合同要素至少包含签订时间、合同双方名称、合同内容、合同总价，合同要素不完整或者内容不清晰无法辨认或提供不全不得分）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605"/>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w:t>
            </w:r>
            <w:r/>
          </w:p>
        </w:tc>
        <w:tc>
          <w:tcPr>
            <w:tcBorders>
              <w:top w:val="single" w:color="auto" w:sz="4" w:space="0"/>
              <w:left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企业资质</w:t>
            </w:r>
            <w:r/>
          </w:p>
        </w:tc>
        <w:tc>
          <w:tcPr>
            <w:tcBorders>
              <w:top w:val="single" w:color="auto" w:sz="4" w:space="0"/>
              <w:left w:val="single" w:color="auto" w:sz="4" w:space="0"/>
              <w:right w:val="single" w:color="auto" w:sz="4" w:space="0"/>
            </w:tcBorders>
            <w:tcW w:w="3480" w:type="pct"/>
            <w:vAlign w:val="center"/>
            <w:textDirection w:val="lrTb"/>
            <w:noWrap w:val="false"/>
          </w:tcPr>
          <w:p>
            <w:pPr>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1.投标人具有有效的信息安全管理体系认证证书、信息技术服务管理体系认证证书的，每提供一项得0.5分，满分1分；</w:t>
            </w:r>
            <w:r>
              <w:rPr>
                <w:rFonts w:hint="eastAsia" w:ascii="宋体" w:hAnsi="宋体"/>
                <w:b/>
                <w:bCs/>
                <w:color w:val="auto"/>
                <w:szCs w:val="21"/>
                <w:highlight w:val="none"/>
              </w:rPr>
              <w:t xml:space="preserve">（提供有效证书扫描件系统上传，未提供不得分）</w:t>
            </w:r>
            <w:r/>
          </w:p>
          <w:p>
            <w:pPr>
              <w:spacing w:line="360" w:lineRule="auto"/>
              <w:rPr>
                <w:rFonts w:eastAsiaTheme="minorEastAsia"/>
                <w:color w:val="auto"/>
                <w:highlight w:val="none"/>
              </w:rPr>
            </w:pPr>
            <w:r>
              <w:rPr>
                <w:rFonts w:hint="eastAsia" w:ascii="宋体" w:hAnsi="宋体"/>
                <w:color w:val="auto"/>
                <w:szCs w:val="21"/>
                <w:highlight w:val="none"/>
              </w:rPr>
              <w:t xml:space="preserve">2、投标人具有有效的ITSS信息技术服务标准（运行维护）证书，二级及以上得1分，二级以下得0.5分，不提供不得分。</w:t>
            </w:r>
            <w:r>
              <w:rPr>
                <w:rFonts w:hint="eastAsia" w:ascii="宋体" w:hAnsi="宋体"/>
                <w:b/>
                <w:bCs/>
                <w:color w:val="auto"/>
                <w:szCs w:val="21"/>
                <w:highlight w:val="none"/>
              </w:rPr>
              <w:t xml:space="preserve">（提供有效证书扫描件系统上传，未提供不得分）</w:t>
            </w:r>
            <w:r/>
          </w:p>
        </w:tc>
        <w:tc>
          <w:tcPr>
            <w:tcBorders>
              <w:top w:val="single" w:color="auto" w:sz="4" w:space="0"/>
              <w:left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r>
      <w:tr>
        <w:trPr>
          <w:jc w:val="center"/>
          <w:trHeight w:val="605"/>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人员资质</w:t>
            </w:r>
            <w:r/>
          </w:p>
        </w:tc>
        <w:tc>
          <w:tcPr>
            <w:tcBorders>
              <w:top w:val="single" w:color="auto" w:sz="4" w:space="0"/>
              <w:left w:val="single" w:color="auto" w:sz="4" w:space="0"/>
              <w:right w:val="single" w:color="auto" w:sz="4" w:space="0"/>
            </w:tcBorders>
            <w:tcW w:w="3480" w:type="pct"/>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1、投标人拟投入的项目总负责人（不可与本项目其他岗位兼职）具有信息系统项目管理师证书的得1分。</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2、投标人拟投入的项目技术安全负责人（不可与本项目其他岗位兼职）：具有系统集成项目管理工程师的得1分；注册信息安全专业人员（CISP）证书得1分，满分2分。</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3、投标人拟投入的项目团队人员（除项目总负责人、项目技术安全负责人外）：具有网络工程师证书的得1分；低压电工操作证的得1分，满分2分。</w:t>
            </w:r>
            <w:r/>
          </w:p>
          <w:p>
            <w:pPr>
              <w:pStyle w:val="773"/>
              <w:spacing w:line="360" w:lineRule="auto"/>
              <w:rPr>
                <w:rFonts w:hint="eastAsia" w:ascii="宋体" w:hAnsi="宋体"/>
                <w:color w:val="auto"/>
                <w:szCs w:val="21"/>
                <w:highlight w:val="none"/>
              </w:rPr>
            </w:pPr>
            <w:r>
              <w:rPr>
                <w:rFonts w:hint="eastAsia" w:ascii="宋体" w:hAnsi="宋体" w:cs="宋体"/>
                <w:b/>
                <w:bCs/>
                <w:color w:val="auto"/>
                <w:szCs w:val="21"/>
                <w:highlight w:val="none"/>
              </w:rPr>
              <w:t xml:space="preserve">（序号</w:t>
            </w:r>
            <w:r>
              <w:rPr>
                <w:rFonts w:hint="eastAsia" w:ascii="宋体" w:hAnsi="宋体"/>
                <w:b/>
                <w:bCs/>
                <w:color w:val="auto"/>
                <w:szCs w:val="21"/>
                <w:highlight w:val="none"/>
              </w:rPr>
              <w:t xml:space="preserve">3</w:t>
            </w:r>
            <w:r>
              <w:rPr>
                <w:rFonts w:hint="eastAsia" w:ascii="宋体" w:hAnsi="宋体" w:cs="宋体"/>
                <w:b/>
                <w:bCs/>
                <w:color w:val="auto"/>
                <w:szCs w:val="21"/>
                <w:highlight w:val="none"/>
              </w:rPr>
              <w:t xml:space="preserve">中同一人员多张证书不重复得分。需提供上述人员身相关证书以及投标人为其缴纳的近一年内任意一个月的社保证明扫描件上传，</w:t>
            </w:r>
            <w:r>
              <w:rPr>
                <w:rFonts w:hint="eastAsia" w:ascii="宋体" w:hAnsi="宋体"/>
                <w:b/>
                <w:color w:val="auto"/>
                <w:szCs w:val="21"/>
                <w:highlight w:val="none"/>
              </w:rPr>
              <w:t xml:space="preserve">提供不全或未提供不得分</w:t>
            </w:r>
            <w:r>
              <w:rPr>
                <w:rFonts w:hint="eastAsia" w:ascii="宋体" w:hAnsi="宋体" w:cs="宋体"/>
                <w:b/>
                <w:bCs/>
                <w:color w:val="auto"/>
                <w:szCs w:val="21"/>
                <w:highlight w:val="none"/>
              </w:rPr>
              <w:t xml:space="preserve">）</w:t>
            </w:r>
            <w:r/>
          </w:p>
        </w:tc>
        <w:tc>
          <w:tcPr>
            <w:tcBorders>
              <w:top w:val="single" w:color="auto" w:sz="4" w:space="0"/>
              <w:left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r>
      <w:tr>
        <w:trPr>
          <w:jc w:val="center"/>
          <w:trHeight w:val="529"/>
        </w:trPr>
        <w:tc>
          <w:tcPr>
            <w:tcBorders>
              <w:top w:val="single" w:color="auto" w:sz="4" w:space="0"/>
              <w:left w:val="single" w:color="auto" w:sz="4" w:space="0"/>
              <w:right w:val="single" w:color="auto" w:sz="4" w:space="0"/>
            </w:tcBorders>
            <w:tcW w:w="554" w:type="pct"/>
            <w:vAlign w:val="center"/>
            <w:vMerge w:val="restart"/>
            <w:textDirection w:val="lrTb"/>
            <w:noWrap w:val="false"/>
          </w:tcPr>
          <w:p>
            <w:pPr>
              <w:jc w:val="center"/>
              <w:spacing w:line="360" w:lineRule="auto"/>
              <w:rPr>
                <w:rFonts w:hint="eastAsia" w:ascii="宋体" w:hAnsi="宋体"/>
                <w:color w:val="auto"/>
                <w:szCs w:val="21"/>
                <w:highlight w:val="none"/>
              </w:rPr>
            </w:pPr>
            <w:r/>
            <w:bookmarkStart w:id="66" w:name="_Hlk183094661"/>
            <w:r>
              <w:rPr>
                <w:rFonts w:hint="eastAsia" w:ascii="宋体" w:hAnsi="宋体"/>
                <w:color w:val="auto"/>
                <w:szCs w:val="21"/>
                <w:highlight w:val="none"/>
              </w:rPr>
              <w:t xml:space="preserve">技术部分（59分）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技术参数响应情况</w:t>
            </w:r>
            <w:r/>
          </w:p>
        </w:tc>
        <w:tc>
          <w:tcPr>
            <w:tcBorders>
              <w:top w:val="single" w:color="auto" w:sz="4" w:space="0"/>
              <w:left w:val="single" w:color="auto" w:sz="4" w:space="0"/>
              <w:bottom w:val="single" w:color="auto" w:sz="4" w:space="0"/>
              <w:right w:val="single" w:color="auto" w:sz="4" w:space="0"/>
            </w:tcBorders>
            <w:tcW w:w="3480" w:type="pct"/>
            <w:textDirection w:val="lrTb"/>
            <w:noWrap w:val="false"/>
          </w:tcPr>
          <w:p>
            <w:pPr>
              <w:spacing w:line="360" w:lineRule="auto"/>
              <w:rPr>
                <w:rFonts w:hint="default" w:ascii="Times New Roman" w:hAnsi="Times New Roman" w:eastAsia="宋体"/>
                <w:b w:val="0"/>
                <w:bCs w:val="0"/>
                <w:color w:val="auto"/>
                <w:szCs w:val="21"/>
                <w:highlight w:val="none"/>
                <w:lang w:val="en-US" w:eastAsia="zh-CN"/>
              </w:rPr>
            </w:pPr>
            <w:r>
              <w:rPr>
                <w:rFonts w:hint="eastAsia" w:ascii="宋体" w:hAnsi="宋体" w:cstheme="minorEastAsia"/>
                <w:b w:val="0"/>
                <w:bCs w:val="0"/>
                <w:color w:val="auto"/>
                <w:szCs w:val="21"/>
                <w:highlight w:val="none"/>
                <w:lang w:bidi="ar"/>
              </w:rPr>
              <w:t xml:space="preserve">招标文件中标注“</w:t>
            </w:r>
            <w:r>
              <w:rPr>
                <w:rFonts w:hint="eastAsia" w:ascii="Times New Roman" w:hAnsi="Times New Roman"/>
                <w:b w:val="0"/>
                <w:bCs w:val="0"/>
                <w:i w:val="0"/>
                <w:iCs w:val="0"/>
                <w:color w:val="auto"/>
                <w:szCs w:val="21"/>
                <w:highlight w:val="none"/>
              </w:rPr>
              <w:t xml:space="preserve">★</w:t>
            </w:r>
            <w:r>
              <w:rPr>
                <w:rFonts w:hint="eastAsia" w:ascii="宋体" w:hAnsi="宋体" w:cstheme="minorEastAsia"/>
                <w:b w:val="0"/>
                <w:bCs w:val="0"/>
                <w:color w:val="auto"/>
                <w:szCs w:val="21"/>
                <w:highlight w:val="none"/>
                <w:lang w:bidi="ar"/>
              </w:rPr>
              <w:t xml:space="preserve">”</w:t>
            </w:r>
            <w:r>
              <w:rPr>
                <w:rFonts w:hint="eastAsia" w:ascii="宋体" w:hAnsi="宋体" w:cstheme="minorEastAsia"/>
                <w:b w:val="0"/>
                <w:bCs w:val="0"/>
                <w:color w:val="auto"/>
                <w:szCs w:val="21"/>
                <w:highlight w:val="none"/>
                <w:lang w:val="en-US" w:eastAsia="zh-CN" w:bidi="ar"/>
              </w:rPr>
              <w:t xml:space="preserve">项</w:t>
            </w:r>
            <w:r>
              <w:rPr>
                <w:rFonts w:hint="eastAsia" w:ascii="宋体" w:hAnsi="宋体" w:cstheme="minorEastAsia"/>
                <w:b w:val="0"/>
                <w:bCs w:val="0"/>
                <w:color w:val="auto"/>
                <w:szCs w:val="21"/>
                <w:highlight w:val="none"/>
                <w:lang w:bidi="ar"/>
              </w:rPr>
              <w:t xml:space="preserve">的参数内容为实质性要求</w:t>
            </w:r>
            <w:r>
              <w:rPr>
                <w:rFonts w:hint="eastAsia" w:ascii="宋体" w:hAnsi="宋体" w:cstheme="minorEastAsia"/>
                <w:b w:val="0"/>
                <w:bCs w:val="0"/>
                <w:color w:val="auto"/>
                <w:szCs w:val="21"/>
                <w:highlight w:val="none"/>
                <w:lang w:eastAsia="zh-CN" w:bidi="ar"/>
              </w:rPr>
              <w:t xml:space="preserve">，</w:t>
            </w:r>
            <w:r>
              <w:rPr>
                <w:rFonts w:hint="eastAsia" w:ascii="宋体" w:hAnsi="宋体" w:cstheme="minorEastAsia"/>
                <w:b w:val="0"/>
                <w:bCs w:val="0"/>
                <w:color w:val="auto"/>
                <w:szCs w:val="21"/>
                <w:highlight w:val="none"/>
                <w:lang w:val="en-US" w:eastAsia="zh-CN" w:bidi="ar"/>
              </w:rPr>
              <w:t xml:space="preserve">不参与技术参数打分。</w:t>
            </w:r>
            <w:r/>
          </w:p>
          <w:p>
            <w:pPr>
              <w:spacing w:line="360" w:lineRule="auto"/>
              <w:rPr>
                <w:rFonts w:hint="eastAsia" w:ascii="宋体" w:hAnsi="宋体" w:cs="宋体"/>
                <w:color w:val="auto"/>
                <w:szCs w:val="21"/>
                <w:highlight w:val="none"/>
              </w:rPr>
            </w:pPr>
            <w:r>
              <w:rPr>
                <w:rFonts w:hint="eastAsia" w:ascii="Times New Roman" w:hAnsi="Times New Roman"/>
                <w:color w:val="auto"/>
                <w:szCs w:val="21"/>
                <w:highlight w:val="none"/>
              </w:rPr>
              <w:t xml:space="preserve">第四章项目需求【</w:t>
            </w:r>
            <w:r>
              <w:rPr>
                <w:rFonts w:hint="eastAsia" w:ascii="Times New Roman" w:hAnsi="Times New Roman"/>
                <w:b/>
                <w:bCs/>
                <w:color w:val="auto"/>
                <w:szCs w:val="21"/>
                <w:highlight w:val="none"/>
              </w:rPr>
              <w:t xml:space="preserve">二、项目具体要求  1.2产品参数要求</w:t>
            </w:r>
            <w:r>
              <w:rPr>
                <w:rFonts w:hint="eastAsia" w:ascii="Times New Roman" w:hAnsi="Times New Roman"/>
                <w:color w:val="auto"/>
                <w:szCs w:val="21"/>
                <w:highlight w:val="none"/>
              </w:rPr>
              <w:t xml:space="preserve">】</w:t>
            </w:r>
            <w:r/>
          </w:p>
          <w:p>
            <w:pPr>
              <w:pStyle w:val="773"/>
              <w:spacing w:line="360" w:lineRule="auto"/>
              <w:rPr>
                <w:rFonts w:hint="eastAsia" w:ascii="宋体" w:hAnsi="宋体" w:cstheme="minorEastAsia"/>
                <w:color w:val="auto"/>
                <w:szCs w:val="21"/>
                <w:highlight w:val="none"/>
                <w:lang w:bidi="ar"/>
              </w:rPr>
            </w:pPr>
            <w:r>
              <w:rPr>
                <w:rFonts w:hint="eastAsia" w:ascii="宋体" w:hAnsi="宋体" w:cstheme="minorEastAsia"/>
                <w:color w:val="auto"/>
                <w:szCs w:val="21"/>
                <w:highlight w:val="none"/>
                <w:lang w:bidi="ar"/>
              </w:rPr>
              <w:t xml:space="preserve">带“▲”号（共40个）项指标参数为重要参数，每提供1项重要参数的证明材料，得0.75分，总分30分，不提供不得分。</w:t>
            </w:r>
            <w:r/>
          </w:p>
          <w:p>
            <w:pPr>
              <w:pStyle w:val="773"/>
              <w:spacing w:line="360" w:lineRule="auto"/>
              <w:rPr>
                <w:rFonts w:hint="eastAsia" w:ascii="宋体" w:hAnsi="宋体" w:cstheme="minorEastAsia"/>
                <w:color w:val="auto"/>
                <w:szCs w:val="21"/>
                <w:highlight w:val="none"/>
                <w:lang w:bidi="ar"/>
              </w:rPr>
            </w:pPr>
            <w:r>
              <w:rPr>
                <w:rFonts w:hint="eastAsia" w:hAnsi="宋体" w:cstheme="minorEastAsia"/>
                <w:b/>
                <w:bCs/>
                <w:color w:val="auto"/>
                <w:highlight w:val="none"/>
              </w:rPr>
              <w:t xml:space="preserve">注：须按要求提供相关证明材料。</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bookmarkEnd w:id="66"/>
            <w:r/>
            <w:r/>
          </w:p>
        </w:tc>
      </w:tr>
      <w:tr>
        <w:trPr>
          <w:jc w:val="center"/>
          <w:trHeight w:val="1266"/>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bookmarkStart w:id="67" w:name="_Hlk183098066"/>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产品演示</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投标人应在系统内上传演示视频，视频文件的格式为*.mp4或*.avi，投标人须将视频文件分段压缩为*.zip文件上传。视频时长总计不超过</w:t>
            </w:r>
            <w:r>
              <w:rPr>
                <w:rFonts w:hint="eastAsia" w:ascii="宋体" w:hAnsi="宋体" w:cs="宋体"/>
                <w:b/>
                <w:bCs/>
                <w:color w:val="auto"/>
                <w:szCs w:val="21"/>
                <w:highlight w:val="none"/>
                <w:lang w:val="en-US" w:eastAsia="zh-CN"/>
              </w:rPr>
              <w:t xml:space="preserve">25</w:t>
            </w:r>
            <w:r>
              <w:rPr>
                <w:rFonts w:hint="eastAsia" w:ascii="宋体" w:hAnsi="宋体" w:cs="宋体"/>
                <w:b/>
                <w:bCs/>
                <w:color w:val="auto"/>
                <w:szCs w:val="21"/>
                <w:highlight w:val="none"/>
              </w:rPr>
              <w:t xml:space="preserve">分钟。同时将演示视频（备份件）存放在U盘内，将U盘密封包装（注明供应商名称、项目名称），在投标截止时间前采用邮寄或现场送达的方式，递交至江苏省扬州市翠岗路48号江苏苏维工程管理有限公司二楼代理一部（联系人：孙玉君0514-82129121），由工作人员签收保存。评标当日，如苏采云系统内视频无法正常打开，将播放备份件，否则备份件不予拆封，原路退回。</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演示要求：</w:t>
            </w:r>
            <w:r/>
          </w:p>
          <w:p>
            <w:pPr>
              <w:jc w:val="left"/>
              <w:spacing w:line="360" w:lineRule="auto"/>
              <w:widowControl/>
              <w:rPr>
                <w:rFonts w:hint="eastAsia" w:ascii="宋体" w:hAnsi="宋体"/>
                <w:color w:val="auto"/>
                <w:szCs w:val="21"/>
                <w:highlight w:val="none"/>
              </w:rPr>
            </w:pPr>
            <w:r>
              <w:rPr>
                <w:rFonts w:hint="eastAsia" w:ascii="宋体" w:hAnsi="宋体" w:cs="宋体"/>
                <w:color w:val="auto"/>
                <w:szCs w:val="21"/>
                <w:highlight w:val="none"/>
              </w:rPr>
              <w:t xml:space="preserve">投标人需按照招标文件规定的演示内容制作演示视频文件，上传的演示视频将作为投标文件的组成部分，视频时长总计不超过25分钟。</w:t>
            </w:r>
            <w:r>
              <w:rPr>
                <w:rFonts w:hint="eastAsia" w:ascii="宋体" w:hAnsi="宋体" w:cs="宋体"/>
                <w:color w:val="auto"/>
                <w:szCs w:val="21"/>
                <w:highlight w:val="none"/>
              </w:rPr>
              <w:br/>
            </w:r>
            <w:r>
              <w:rPr>
                <w:rFonts w:hint="eastAsia" w:ascii="宋体" w:hAnsi="宋体" w:cs="宋体"/>
                <w:color w:val="auto"/>
                <w:szCs w:val="21"/>
                <w:highlight w:val="none"/>
              </w:rPr>
              <w:t xml:space="preserve">演示内容：</w:t>
            </w:r>
            <w:r/>
          </w:p>
          <w:p>
            <w:pPr>
              <w:jc w:val="left"/>
              <w:spacing w:line="360" w:lineRule="auto"/>
              <w:widowControl/>
              <w:rPr>
                <w:rFonts w:hint="eastAsia" w:ascii="宋体" w:hAnsi="宋体"/>
                <w:color w:val="auto"/>
                <w:szCs w:val="21"/>
                <w:highlight w:val="none"/>
              </w:rPr>
            </w:pPr>
            <w:r>
              <w:rPr>
                <w:rFonts w:hint="eastAsia" w:ascii="宋体" w:hAnsi="宋体"/>
                <w:color w:val="ff0000"/>
                <w:szCs w:val="21"/>
                <w:highlight w:val="none"/>
              </w:rPr>
              <w:t xml:space="preserve">1、医护主机：考虑医院场景下院感要求，主机物理外观设计应方便医院消毒清洁；主机内置一体化护理指示灯，可实现声光提示；通话手柄采用电磁感应设计，无外漏麦克风，无传统话机机械装置。完成规定的演示内容并上传演示视频文件，得1分</w:t>
            </w:r>
            <w:r>
              <w:rPr>
                <w:rFonts w:hint="eastAsia" w:ascii="宋体" w:hAnsi="宋体"/>
                <w:color w:val="auto"/>
                <w:szCs w:val="21"/>
                <w:highlight w:val="none"/>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医护主机多路通话保持演示: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医护主机通话保持功能演示：在WEB页面端，以科室单元进行配置，配置通话保持数量应≥5路分机；不少于5个床头分机依次发起呼叫，在护士站主机端可依次接听，且在接通1路通话的同时保持其余4路，并依次恢复通话；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4、医护主机音视频互换：床头分机与护士站主机在进行语音/视频通话时，两端都能主动进行语音和视频之间转换，且不中断当前通话；完成规定的演示内容并上传演示视频文件，得1.5分。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医护主机隐私通话：护士站主机视频通话时可控制是否对方看到本机画面隐私通话，隐私通话开启后床头分机无法看到护士站主机画面；同时也支持在通话过程中关闭隐私通话；完成规定的演示内容并上传演示视频文件，得1.5分。</w:t>
            </w:r>
            <w:r/>
          </w:p>
          <w:p>
            <w:pPr>
              <w:jc w:val="left"/>
              <w:spacing w:line="360" w:lineRule="auto"/>
              <w:widowControl/>
              <w:rPr>
                <w:rFonts w:hint="eastAsia" w:ascii="宋体" w:hAnsi="宋体"/>
                <w:color w:val="ff0000"/>
                <w:szCs w:val="21"/>
                <w:highlight w:val="none"/>
              </w:rPr>
            </w:pPr>
            <w:r>
              <w:rPr>
                <w:rFonts w:hint="eastAsia" w:ascii="宋体" w:hAnsi="宋体"/>
                <w:color w:val="ff0000"/>
                <w:szCs w:val="21"/>
                <w:highlight w:val="none"/>
              </w:rPr>
              <w:t xml:space="preserve">6、</w:t>
            </w:r>
            <w:r>
              <w:rPr>
                <w:rFonts w:hint="eastAsia" w:ascii="宋体" w:hAnsi="宋体"/>
                <w:color w:val="ff0000"/>
                <w:szCs w:val="21"/>
                <w:highlight w:val="none"/>
                <w:lang w:eastAsia="zh-CN"/>
              </w:rPr>
              <w:t xml:space="preserve">医护主机通话优先级：支持床头分机、卫生间分机与护士站主机通话时，通话优先级打断(根据预先设置的优先级：</w:t>
            </w:r>
            <w:r>
              <w:rPr>
                <w:rFonts w:hint="eastAsia" w:ascii="宋体" w:hAnsi="宋体"/>
                <w:color w:val="ff0000"/>
                <w:szCs w:val="21"/>
                <w:highlight w:val="none"/>
                <w:lang w:val="en-US" w:eastAsia="zh-CN"/>
              </w:rPr>
              <w:t xml:space="preserve">卫生间分机优于床头分机通话。此仅为演示需要</w:t>
            </w:r>
            <w:r>
              <w:rPr>
                <w:rFonts w:hint="eastAsia" w:ascii="宋体" w:hAnsi="宋体"/>
                <w:color w:val="ff0000"/>
                <w:szCs w:val="21"/>
                <w:highlight w:val="none"/>
                <w:lang w:eastAsia="zh-CN"/>
              </w:rPr>
              <w:t xml:space="preserve">),高等级通话可以打断低等级通话；完成规定的演示内容并上传演示视频文件，得1.5分</w:t>
            </w:r>
            <w:r>
              <w:rPr>
                <w:rFonts w:hint="eastAsia" w:ascii="宋体" w:hAnsi="宋体"/>
                <w:color w:val="ff0000"/>
                <w:szCs w:val="21"/>
                <w:highlight w:val="none"/>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7、医护主机AI语音转文字功能：护士站主机与床头分机通话时，护士站主机可实时将患者通话语音内容通过文字方式进行展示。完成规定的演示内容并上传演示视频文件，得1分。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8、ICU床头分机：分机采用全触屏设计，正面无任何物理按键，以符合院感要求，分机侧方或下方出音，以防灰尘异物等进入喇叭，也便于设备的消毒清洁；多功能呼叫手柄具备物理呼叫按键、物理换药按键、物理取消按键、具备LED灯、物理熄屏按键。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9、ICU床头分机功能加密：床头分机功能支持自定义的功能模块加密（如检查报告、医嘱等信息）；科室可按实际情况进行加密功能的自主管理。完成规定的演示内容并上传演示视频文件，得1分。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10、ICU床头分机红外感应演示：在床头分机前，屏幕可通过红外感应亮起，以供护士查看内容；红外模组可识别患者离开后，自动息屏；完成规定的演示内容并上传演示视频文件，得1分。</w:t>
            </w:r>
            <w:r/>
          </w:p>
          <w:p>
            <w:pPr>
              <w:jc w:val="left"/>
              <w:spacing w:line="360" w:lineRule="auto"/>
              <w:widowControl/>
              <w:rPr>
                <w:rFonts w:hint="eastAsia" w:ascii="宋体" w:hAnsi="宋体"/>
                <w:color w:val="ff0000"/>
                <w:szCs w:val="21"/>
                <w:highlight w:val="none"/>
              </w:rPr>
            </w:pPr>
            <w:r>
              <w:rPr>
                <w:rFonts w:hint="eastAsia" w:ascii="宋体" w:hAnsi="宋体"/>
                <w:color w:val="ff0000"/>
                <w:szCs w:val="21"/>
                <w:highlight w:val="none"/>
                <w:lang w:eastAsia="zh-CN"/>
              </w:rPr>
              <w:t xml:space="preserve">11、门口分机具有护士定位按键：护士可通过门口机进行护士定位，当该房间无床位呼叫时走廊屏显示护士所在房间，多房间有护士进入时，走廊屏可显示多个护士所在房间；分机内置一体化门灯，便于护士观察，支持不同呼叫级别和呼叫类型的区分颜色，同时进行声音提示。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12、</w:t>
            </w:r>
            <w:r>
              <w:rPr>
                <w:rFonts w:ascii="Times New Roman"/>
                <w:color w:val="auto"/>
                <w:szCs w:val="21"/>
                <w:highlight w:val="none"/>
              </w:rPr>
              <w:t xml:space="preserve">AI输液识别系统</w:t>
            </w:r>
            <w:r>
              <w:rPr>
                <w:rFonts w:hint="eastAsia" w:ascii="宋体" w:hAnsi="宋体"/>
                <w:color w:val="auto"/>
                <w:szCs w:val="21"/>
                <w:highlight w:val="none"/>
              </w:rPr>
              <w:t xml:space="preserve">AI输液识别：在护理人员挂好输液袋/瓶后，支持无碰触开始/结束监控任务；支持合并输液报警器滴速及状态参数，对输液监控大屏界面进行统一展示；应展示输液状态、已输量、即将结束报警和空瓶报警等内容，出于隐私考虑，支持自动裁剪拍摄画面仅保留关键部位，并对画面中其他区域自动打码。完成规定的演示内容并上传演示视频文件，得1.5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15</w:t>
            </w:r>
            <w:bookmarkEnd w:id="67"/>
            <w:r/>
            <w:r/>
          </w:p>
        </w:tc>
      </w:tr>
      <w:tr>
        <w:trPr>
          <w:jc w:val="center"/>
          <w:trHeight w:val="416"/>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根据采购人提供的项目设计方案，包括但不限于：建设背景、建设原则、建设依据、需求概述、需求定位、网络构架、系统功能、终端功能（包括医护主机、床头分机、门口分机、卫生间分机、走廊屏等）。</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ascii="Segoe UI" w:hAnsi="Segoe UI" w:eastAsia="Segoe UI" w:cs="Segoe UI"/>
                <w:color w:val="auto"/>
                <w:szCs w:val="21"/>
                <w:highlight w:val="none"/>
                <w:shd w:val="clear" w:color="auto" w:fill="ffffff"/>
              </w:rPr>
              <w:t xml:space="preserve">方案逻辑严密，</w:t>
            </w:r>
            <w:r>
              <w:rPr>
                <w:rFonts w:ascii="Segoe UI" w:hAnsi="Segoe UI" w:eastAsia="Segoe UI" w:cs="Segoe UI"/>
                <w:color w:val="auto"/>
                <w:szCs w:val="21"/>
                <w:highlight w:val="none"/>
                <w:shd w:val="clear" w:color="auto" w:fill="ffffff"/>
              </w:rPr>
              <w:t xml:space="preserve">具有前瞻性。“建设依据”部分不仅全面引用了现行、有效的国家、行业标准规范，还能结合项目具体特点进行深入解读，方案设计与规范要求高度契合且体现出优化与创新。对“建设背景”、“需求概述”和“需求定位”的分析深入，精准地凸显了项目的独特需求和核心价值。“网络架构”设计先进、合理，不仅详细描述了核心功能及复杂的联动逻辑（如多级报警、信息同步机制），还考虑了网络冗余、数据安全等高级特性。对“系统功能”和“终端功能”（医护主机、床头分机等）的描述非常具体、深入，涵盖了性能参数、用户体验、异常处理机制及详细的安装部署要求</w:t>
            </w:r>
            <w:r>
              <w:rPr>
                <w:rFonts w:hint="eastAsia" w:ascii="Segoe UI" w:hAnsi="Segoe UI" w:cs="Segoe UI"/>
                <w:color w:val="auto"/>
                <w:szCs w:val="21"/>
                <w:highlight w:val="none"/>
                <w:shd w:val="clear" w:color="auto" w:fill="ffffff"/>
              </w:rPr>
              <w:t xml:space="preserve">，还</w:t>
            </w:r>
            <w:r>
              <w:rPr>
                <w:rFonts w:hint="eastAsia" w:ascii="宋体" w:hAnsi="宋体"/>
                <w:bCs/>
                <w:color w:val="auto"/>
                <w:szCs w:val="21"/>
                <w:highlight w:val="none"/>
              </w:rPr>
              <w:t xml:space="preserve">考虑了未来系统的扩展能力（如增加床位、新增功能模块）以及与医院其他信息系统（如HIS、护士站系统）的接口兼容性设计的，得4分；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ascii="Segoe UI" w:hAnsi="Segoe UI" w:eastAsia="Segoe UI" w:cs="Segoe UI"/>
                <w:color w:val="auto"/>
                <w:szCs w:val="21"/>
                <w:highlight w:val="none"/>
                <w:shd w:val="clear" w:color="auto" w:fill="ffffff"/>
              </w:rPr>
              <w:t xml:space="preserve">方案逻辑</w:t>
            </w:r>
            <w:r>
              <w:rPr>
                <w:rFonts w:hint="eastAsia" w:ascii="Segoe UI" w:hAnsi="Segoe UI" w:cs="Segoe UI"/>
                <w:color w:val="auto"/>
                <w:szCs w:val="21"/>
                <w:highlight w:val="none"/>
                <w:shd w:val="clear" w:color="auto" w:fill="ffffff"/>
              </w:rPr>
              <w:t xml:space="preserve">较</w:t>
            </w:r>
            <w:r>
              <w:rPr>
                <w:rFonts w:ascii="Segoe UI" w:hAnsi="Segoe UI" w:eastAsia="Segoe UI" w:cs="Segoe UI"/>
                <w:color w:val="auto"/>
                <w:szCs w:val="21"/>
                <w:highlight w:val="none"/>
                <w:shd w:val="clear" w:color="auto" w:fill="ffffff"/>
              </w:rPr>
              <w:t xml:space="preserve">严密</w:t>
            </w:r>
            <w:r>
              <w:rPr>
                <w:rFonts w:hint="eastAsia" w:ascii="Segoe UI" w:hAnsi="Segoe UI" w:cs="Segoe UI"/>
                <w:color w:val="auto"/>
                <w:szCs w:val="21"/>
                <w:highlight w:val="none"/>
                <w:shd w:val="clear" w:color="auto" w:fill="ffffff"/>
              </w:rPr>
              <w:t xml:space="preserve">，</w:t>
            </w:r>
            <w:r>
              <w:rPr>
                <w:rFonts w:ascii="Segoe UI" w:hAnsi="Segoe UI" w:eastAsia="Segoe UI" w:cs="Segoe UI"/>
                <w:color w:val="auto"/>
                <w:szCs w:val="21"/>
                <w:highlight w:val="none"/>
                <w:shd w:val="clear" w:color="auto" w:fill="ffffff"/>
              </w:rPr>
              <w:t xml:space="preserve">“建设依据”部分引用了现行、有效的国家、行业相关标准规范，并确保方案设计与这些规范高度契合。结构完整，涵盖了所有指定部分。“网络架构”详细描述了呼叫对讲、紧急报警、信息显示、录音录像、系统管理等核心功能，并清晰地阐述了功能之间的联动逻辑（如卫生间分机报警与主机、走廊屏的联动）。对终端的核心功能、性能参数、安装部署要求等进行了具体且有针对性的说明。设备选型与功能需求、性能要求匹配，关键设备和终端的配置清单</w:t>
            </w:r>
            <w:r>
              <w:rPr>
                <w:rFonts w:hint="eastAsia" w:ascii="Segoe UI" w:hAnsi="Segoe UI" w:cs="Segoe UI"/>
                <w:color w:val="auto"/>
                <w:szCs w:val="21"/>
                <w:highlight w:val="none"/>
                <w:shd w:val="clear" w:color="auto" w:fill="ffffff"/>
              </w:rPr>
              <w:t xml:space="preserve">较</w:t>
            </w:r>
            <w:r>
              <w:rPr>
                <w:rFonts w:ascii="Segoe UI" w:hAnsi="Segoe UI" w:eastAsia="Segoe UI" w:cs="Segoe UI"/>
                <w:color w:val="auto"/>
                <w:szCs w:val="21"/>
                <w:highlight w:val="none"/>
                <w:shd w:val="clear" w:color="auto" w:fill="ffffff"/>
              </w:rPr>
              <w:t xml:space="preserve">完整。方案考虑了未来系统的扩展能力以及与医院其他信息系统的接口兼容性</w:t>
            </w:r>
            <w:r>
              <w:rPr>
                <w:rFonts w:hint="eastAsia" w:ascii="Segoe UI" w:hAnsi="Segoe UI" w:cs="Segoe UI"/>
                <w:color w:val="auto"/>
                <w:szCs w:val="21"/>
                <w:highlight w:val="none"/>
                <w:shd w:val="clear" w:color="auto" w:fill="ffffff"/>
              </w:rPr>
              <w:t xml:space="preserve">的，得3分；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方案结构基本完整，涵盖了所有指定部分，但部分内容较为笼统或不够深入。引用了相关规范，但可能不够全面或与设计内容的关联性不强。对需求和背景进行了分析，但深度一般，未能充分凸显项目特色和精准定位。“网络架构”细节不足或不够优化。“系统功能”和“终端功能”列出了主要项目，但描述相对概括，对于功能联动、异常处理等细节考虑不周的，得2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方案结构松散，虽提及了大部分要求的内容，但存在明显缺失（如缺少“建设依据”或“需求定位”），或内容仅为口号式堆砌。缺乏引用的标准规范，或引用已过时。对需求和背景的描述非常简略，流于形式。“网络架构”设计简单。“系统功能”和“终端功能”仅罗列了名称，缺乏具体的功能描述和实现方式说明。对于指定终端的功能描述模糊或不全，提供了设备清单，但配置与需求的关联性不强的，得1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（5）方案内容完全不符合采购需求，缺少方案的核心部分（如完全未涉及网络架构或终端功能）或方案设计与采购需求严重背离或未提供方案的不得分。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满足招标文件的实施要求（包括但不限于1.项目人员组织保障、2.项目实施计划、3.项目实施关键要素分析）的基础上，根据投标人提供的实施方案进行打分。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ascii="Segoe UI" w:hAnsi="Segoe UI" w:eastAsia="Segoe UI" w:cs="Segoe UI"/>
                <w:color w:val="auto"/>
                <w:szCs w:val="21"/>
                <w:highlight w:val="none"/>
                <w:shd w:val="clear" w:color="auto" w:fill="ffffff"/>
              </w:rPr>
              <w:t xml:space="preserve">实施方案详尽周密，结构完整，逻辑清晰。工作分解细致合理，完全覆盖所有关键工序；进度计划科学严谨，关键路径清晰，节点明</w:t>
            </w:r>
            <w:r>
              <w:rPr>
                <w:rFonts w:ascii="Segoe UI" w:hAnsi="Segoe UI" w:eastAsia="Segoe UI" w:cs="Segoe UI"/>
                <w:color w:val="auto"/>
                <w:szCs w:val="21"/>
                <w:highlight w:val="none"/>
                <w:shd w:val="clear" w:color="auto" w:fill="ffffff"/>
              </w:rPr>
              <w:t xml:space="preserve">确具体；项目组织架构完整，岗位权责清晰明确；人员进场计划与施工进度高度联动，安排合理高效；具备完善的质量管理体系，检验标准与流程明确，质量控制点设置全面；安全管理方案系统性强，防护措施具体且可操作性强；对可能延误的环节有准确预判，并制定具体有效的纠偏措施；对设备、材料及成品保护等有周密安排；应急预案全面，覆盖各类常见紧急情况，组织机构与人员分工明确，联络机制畅通，处置流程清晰具体，可操作性强；试运行前提条件、范围、时间、步骤描述清晰；测试大纲详尽，验收标准明确且量化；验收流程严格符合国家/行业规范及合同要求</w:t>
            </w:r>
            <w:r>
              <w:rPr>
                <w:rFonts w:hint="eastAsia" w:asciiTheme="minorEastAsia" w:hAnsiTheme="minorEastAsia" w:eastAsiaTheme="minorEastAsia" w:cstheme="minorEastAsia"/>
                <w:color w:val="auto"/>
                <w:szCs w:val="21"/>
                <w:highlight w:val="none"/>
              </w:rPr>
              <w:t xml:space="preserve">的，得4分；</w:t>
            </w:r>
            <w:r/>
          </w:p>
          <w:p>
            <w:pPr>
              <w:spacing w:line="360" w:lineRule="auto"/>
              <w:rPr>
                <w:rFonts w:hint="eastAsia" w:ascii="宋体" w:hAnsi="宋体" w:cs="宋体"/>
                <w:color w:val="auto"/>
                <w:szCs w:val="21"/>
                <w:highlight w:val="none"/>
              </w:rPr>
            </w:pPr>
            <w:r>
              <w:rPr>
                <w:rFonts w:asciiTheme="minorEastAsia" w:hAnsiTheme="minorEastAsia" w:eastAsiaTheme="minorEastAsia" w:cstheme="minorEastAsia"/>
                <w:color w:val="auto"/>
                <w:szCs w:val="21"/>
                <w:highlight w:val="none"/>
              </w:rPr>
              <w:t xml:space="preserve">（2）</w:t>
            </w:r>
            <w:r>
              <w:rPr>
                <w:rFonts w:ascii="Segoe UI" w:hAnsi="Segoe UI" w:eastAsia="Segoe UI" w:cs="Segoe UI"/>
                <w:color w:val="auto"/>
                <w:szCs w:val="21"/>
                <w:highlight w:val="none"/>
                <w:shd w:val="clear" w:color="auto" w:fill="ffffff"/>
              </w:rPr>
              <w:t xml:space="preserve">实施方案较为详尽，涵盖所有关键要素，内容完整。工作分解基本合理，进度计划有主要节点，逻辑关系基本清晰；项目组织架构和人员分工明确；质量、安全、进度保障措施均已涉及，内容较为全面，但部分措施的针对性和深度略有不足；应急预案基本覆盖主要紧急情况，处置流程较为清晰，但细节和可操作</w:t>
            </w:r>
            <w:r>
              <w:rPr>
                <w:rFonts w:hint="eastAsia" w:ascii="宋体" w:hAnsi="宋体" w:cs="宋体"/>
                <w:color w:val="auto"/>
                <w:szCs w:val="21"/>
                <w:highlight w:val="none"/>
                <w:shd w:val="clear" w:color="auto" w:fill="ffffff"/>
              </w:rPr>
              <w:t xml:space="preserve">性有待提升；试运行与验收环节有描述，测试标准与流程基本满足要求，但细致程度一般；整体方案具备可执行性，无明显重大疏漏</w:t>
            </w:r>
            <w:r>
              <w:rPr>
                <w:rFonts w:hint="eastAsia" w:ascii="宋体" w:hAnsi="宋体" w:cs="宋体"/>
                <w:color w:val="auto"/>
                <w:szCs w:val="21"/>
                <w:highlight w:val="none"/>
              </w:rPr>
              <w:t xml:space="preserve">的，得3分；</w:t>
            </w:r>
            <w:r/>
          </w:p>
          <w:p>
            <w:pPr>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（3）</w:t>
            </w:r>
            <w:r>
              <w:rPr>
                <w:rFonts w:hint="eastAsia" w:ascii="宋体" w:hAnsi="宋体" w:cs="宋体"/>
                <w:color w:val="auto"/>
                <w:szCs w:val="21"/>
                <w:highlight w:val="none"/>
                <w:shd w:val="clear" w:color="auto" w:fill="ffffff"/>
              </w:rPr>
              <w:t xml:space="preserve">实施方案框架基本完整，但部分内容不够深入或存在疏漏。进度计划简单，关键节点缺失或模糊；项目组织架构和人员分工基本明确，但权责不够清晰；质量、安全等措施已提及，但缺乏系统性和具体保障手段；应急预案内容较为空泛，缺乏可执行的流程和职责分工；试运行和验收环节仅简单说明，缺乏实质性内容；方案整体可执行性一般，需进一步补充完善的，得2分；</w:t>
            </w:r>
            <w:r/>
          </w:p>
          <w:p>
            <w:pPr>
              <w:spacing w:line="360" w:lineRule="auto"/>
              <w:rPr>
                <w:rFonts w:ascii="Segoe UI" w:hAnsi="Segoe UI" w:cs="Segoe UI"/>
                <w:color w:val="auto"/>
                <w:szCs w:val="21"/>
                <w:highlight w:val="none"/>
                <w:shd w:val="clear" w:color="auto" w:fill="ffffff"/>
              </w:rPr>
            </w:pPr>
            <w:r>
              <w:rPr>
                <w:rFonts w:hint="eastAsia" w:ascii="宋体" w:hAnsi="宋体" w:cs="宋体"/>
                <w:color w:val="auto"/>
                <w:szCs w:val="21"/>
                <w:highlight w:val="none"/>
                <w:shd w:val="clear" w:color="auto" w:fill="ffffff"/>
              </w:rPr>
              <w:t xml:space="preserve">（4）</w:t>
            </w:r>
            <w:r>
              <w:rPr>
                <w:rFonts w:ascii="Segoe UI" w:hAnsi="Segoe UI" w:eastAsia="Segoe UI" w:cs="Segoe UI"/>
                <w:color w:val="auto"/>
                <w:szCs w:val="21"/>
                <w:highlight w:val="none"/>
                <w:shd w:val="clear" w:color="auto" w:fill="ffffff"/>
              </w:rPr>
              <w:t xml:space="preserve">实施方案内容存在明显缺失或重大不足，如缺少关键部分的详细描述（如质量、安全、进度保障等核心要素）；进度计划不合理，节点缺失严重；组织架构不清晰，人员职责模糊；质量、安全等措施仅简单提及，缺乏具体内容；应急预案流于形式，无可操作性；试运行与验收环节描述过于简略；方案整体与项目实际脱节，可执行性差</w:t>
            </w:r>
            <w:r>
              <w:rPr>
                <w:rFonts w:hint="eastAsia" w:ascii="Segoe UI" w:hAnsi="Segoe UI" w:cs="Segoe UI"/>
                <w:color w:val="auto"/>
                <w:szCs w:val="21"/>
                <w:highlight w:val="none"/>
                <w:shd w:val="clear" w:color="auto" w:fill="ffffff"/>
              </w:rPr>
              <w:t xml:space="preserve">的，得1分；</w:t>
            </w:r>
            <w:r/>
          </w:p>
          <w:p>
            <w:pPr>
              <w:spacing w:line="360" w:lineRule="auto"/>
              <w:rPr>
                <w:rFonts w:ascii="Segoe UI" w:hAnsi="Segoe UI" w:cs="Segoe UI"/>
                <w:color w:val="auto"/>
                <w:szCs w:val="21"/>
                <w:highlight w:val="none"/>
                <w:shd w:val="clear" w:color="auto" w:fill="ffffff"/>
              </w:rPr>
            </w:pPr>
            <w:r>
              <w:rPr>
                <w:rFonts w:hint="eastAsia" w:ascii="宋体" w:hAnsi="宋体" w:cs="宋体"/>
                <w:color w:val="auto"/>
                <w:szCs w:val="21"/>
                <w:highlight w:val="none"/>
                <w:shd w:val="clear" w:color="auto" w:fill="ffffff"/>
              </w:rPr>
              <w:t xml:space="preserve">（5）</w:t>
            </w:r>
            <w:r>
              <w:rPr>
                <w:rFonts w:ascii="Segoe UI" w:hAnsi="Segoe UI" w:eastAsia="Segoe UI" w:cs="Segoe UI"/>
                <w:color w:val="auto"/>
                <w:szCs w:val="21"/>
                <w:highlight w:val="none"/>
                <w:shd w:val="clear" w:color="auto" w:fill="ffffff"/>
              </w:rPr>
              <w:t xml:space="preserve">实施方案内容存在重大缺失（如缺少评分项中任一核心部分），或方案完全不符合项目实际，不具备可执行性，或未提供实施方案</w:t>
            </w:r>
            <w:r>
              <w:rPr>
                <w:rFonts w:hint="eastAsia" w:ascii="Segoe UI" w:hAnsi="Segoe UI" w:cs="Segoe UI"/>
                <w:color w:val="auto"/>
                <w:szCs w:val="21"/>
                <w:highlight w:val="none"/>
                <w:shd w:val="clear" w:color="auto" w:fill="ffffff"/>
              </w:rPr>
              <w:t xml:space="preserve">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满足招标文件的培训要求（包括但不限于（1）培训人员配置、（2）培训内容、（3）培训策略）的基础上，根据投标人提供的培训方案进行打分。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（1）培训计划完整、阶段清晰、逻辑性强，与项目进度无缝衔接；明确了培训</w:t>
            </w:r>
            <w:r>
              <w:rPr>
                <w:rFonts w:hint="eastAsia" w:asciiTheme="minorEastAsia" w:hAnsiTheme="minorEastAsia" w:eastAsiaTheme="minorEastAsia" w:cstheme="minorEastAsia"/>
                <w:color w:val="auto"/>
                <w:szCs w:val="21"/>
                <w:highlight w:val="none"/>
              </w:rPr>
              <w:t xml:space="preserve">前、中、后期的具体任务和时间节点；配有专职的培训管理和后勤支持人员；提供了全方位的保障方案，包括高质量的培训材料、完备的设施设备清单、可靠的应急预案以及有效的技术支持渠道；课程体系设计系统、深入，内容完全针对本项目所涉及的技术、流程和管理特点；理论与实践课时分配科学，重点突出；建立了完善的、多层次的考核机制；制定了严格、可追溯的考勤制度，明确了签到方式、请假流程和纪律要求，并与最终培训效果挂钩；实操环节设计具体、可行，有明确的实训环境搭建方案、详细的实操指导手册，并能保证学员有充足的动手练习时间的，得3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（2）培训计划较为完整，阶段划分基本合理，能够满足项目培训的基本时间要求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师资配置基本满足要求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列出了主要的保障措施，如教材、设备等，但细节不够丰富，或缺乏应急预案等次要环节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课程内容覆盖了招标文件的主要要求，具有一定的针对性，但深度和系统性一般。提出了考核方式（如笔试或实操），有基本的合格标准，但考核体系较为单一，缺乏多维度评估</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有基本的考勤管理规定，如每日签到，但流程描述较为简单。安排了实操环节，并说明了主要内容，但具体操作流程和保障措施描述不够深入</w:t>
            </w:r>
            <w:r>
              <w:rPr>
                <w:rFonts w:hint="eastAsia" w:asciiTheme="minorEastAsia" w:hAnsiTheme="minorEastAsia" w:eastAsiaTheme="minorEastAsia" w:cstheme="minorEastAsia"/>
                <w:color w:val="auto"/>
                <w:szCs w:val="21"/>
                <w:highlight w:val="none"/>
              </w:rPr>
              <w:t xml:space="preserve">的，得2分；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（3）培训有初步的计划和时间安排，但逻辑性不强，或与项目进度的关联度不高</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仅简单提及讲师安排，但人员资质、分工描述模糊，支撑力度不足</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仅笼统提及会提供必要保障，缺乏具体内容和实施细节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课程列表较为笼统，多为通用性内容，未能有效体现本项目的需求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提到需要进行考核，但未明确考核形式、内容或标准</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仅提及会进行考勤，无具体制度描述</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提到包含实操，但内容、时长和方法均描述不清</w:t>
            </w:r>
            <w:r>
              <w:rPr>
                <w:rFonts w:hint="eastAsia" w:asciiTheme="minorEastAsia" w:hAnsiTheme="minorEastAsia" w:eastAsiaTheme="minorEastAsia" w:cstheme="minorEastAsia"/>
                <w:color w:val="auto"/>
                <w:szCs w:val="21"/>
                <w:highlight w:val="none"/>
              </w:rPr>
              <w:t xml:space="preserve">的，得1分；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（4）培训计划与项目周期冲突；课程内容完全偏离项目需求等；描述严重欠缺；在多个核心要素上缺失或仅有标题式描述，无法判断如何实施；未提供培训方案的不得分。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满足招标文件要求的基础上，后续维护及售后服务方案、应急维修响应方案（包括人员配置等），根据投标人提供的售后服务方案进行打分。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（1）提供完善的服</w:t>
            </w:r>
            <w:r>
              <w:rPr>
                <w:rFonts w:hint="eastAsia" w:asciiTheme="minorEastAsia" w:hAnsiTheme="minorEastAsia" w:eastAsiaTheme="minorEastAsia" w:cstheme="minorEastAsia"/>
                <w:color w:val="auto"/>
                <w:szCs w:val="21"/>
                <w:highlight w:val="none"/>
              </w:rPr>
              <w:t xml:space="preserve">务流程（如：报修-&gt;接单-&gt;派工-&gt;处理-&gt;反馈-&gt;回访）闭环管理，描述清晰；配备了专职、专业的售后服务团队，人员数量充足、分工明确。提供了核心服务人员的名单；有系统的、定期的培训计划，确保技术人员知识更新。针对可能发生的故障（如：硬件损坏、系统崩溃、数据丢失等）有分级预案（如：一般、严重、紧急）。针对不同级别的故障，明确了具体的响应时间、处理流程和升级上报机制。方案与招标项目的具体设备、系统或场景紧密结合，具有极强的针对性。明确承诺设立备件库，说明了备件库的地点、库存种类和数量，能保障快速更换的，得3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（2）服务流程描述完整，逻辑清晰，但细节略显不足</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配备了售后服务人员，分工基本合理</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提及了人员，但未提供详细的证明材料</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有培训意识，但计划不够具体</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有基本的应急响应流程和故障分级概念。响应措施描述较为详细，但与项目具体特点的结合度一般</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提及了备件支持，但未详细说明备件库的具体情况</w:t>
            </w:r>
            <w:r>
              <w:rPr>
                <w:rFonts w:hint="eastAsia" w:asciiTheme="minorEastAsia" w:hAnsiTheme="minorEastAsia" w:eastAsiaTheme="minorEastAsia" w:cstheme="minorEastAsia"/>
                <w:color w:val="auto"/>
                <w:szCs w:val="21"/>
                <w:highlight w:val="none"/>
              </w:rPr>
              <w:t xml:space="preserve">的，得2分；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售后服务仅提供了框架性的服务承诺，如“及时响应”、“尽快解决”，缺乏具体量化的时间指标；服务流程描述简单、笼统，只有几个关键节点；仅说明“有相关人员”，未明确是否为专职、人员数量及具体分工；仅简单提及“出现问题会处理”，没有系统的应急流程；未明确提及备件供应保障措施的，得1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（4）未提供任何售后服务及应急响应方案；方案存在明显不合理项、描述严重欠缺，仅有一两句话，完全无法体现服务能力；方案存在重大实施难度，逻辑混乱，或与招标项目的核心需求严重脱节的不得分。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r>
      <w:tr>
        <w:trPr>
          <w:jc w:val="center"/>
          <w:trHeight w:val="319"/>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100</w:t>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本次采购执行江苏省财政厅《关于推动解决政府采购异常低价问题相关工作的通知》（苏财购〔2025〕62号）的文件要求。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（一）评审过程中出现下列情形之一的，评审委员会应当启动异常低价投标（响应）审查程序：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1.投标（响应）报价低于采购项目预算50%的，即投标（响 应）报价&lt;采购项目预算 ×50%；</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2.投标（响应）报价低于采购项目最高限价45% 的，即投标（响应）报价&lt;采购项目最高限价 ×45%；</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rPr>
        <w:t xml:space="preserve">评审委员会认定的供应商报价过低、有可能影响产品质量或者不能诚信履约的其他情形。</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7"/>
        <w:numPr>
          <w:ilvl w:val="0"/>
          <w:numId w:val="0"/>
        </w:numPr>
        <w:ind w:left="392"/>
        <w:rPr>
          <w:color w:val="auto"/>
          <w:highlight w:val="none"/>
        </w:rPr>
      </w:pPr>
      <w:r/>
      <w:bookmarkStart w:id="68" w:name="_Toc18779"/>
      <w:r>
        <w:rPr>
          <w:rFonts w:hint="eastAsia"/>
          <w:color w:val="auto"/>
          <w:highlight w:val="none"/>
        </w:rPr>
        <w:t xml:space="preserve">第六章 投标文件格式</w:t>
      </w:r>
      <w:bookmarkEnd w:id="68"/>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56"/>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9" w:name="_Toc5792"/>
      <w:r/>
      <w:bookmarkStart w:id="70" w:name="_Toc20369"/>
      <w:r/>
      <w:bookmarkStart w:id="71" w:name="_Toc7268"/>
      <w:r>
        <w:rPr>
          <w:rFonts w:hint="eastAsia" w:ascii="宋体" w:hAnsi="宋体" w:eastAsia="宋体" w:cs="宋体"/>
          <w:color w:val="auto"/>
          <w:sz w:val="32"/>
          <w:highlight w:val="none"/>
        </w:rPr>
        <w:t xml:space="preserve">一、资格审查响应对照表</w:t>
      </w:r>
      <w:bookmarkEnd w:id="69"/>
      <w:r/>
      <w:bookmarkEnd w:id="70"/>
      <w:r/>
      <w:bookmarkEnd w:id="71"/>
      <w:r/>
      <w:r/>
    </w:p>
    <w:tbl>
      <w:tblPr>
        <w:tblStyle w:val="76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062"/>
        <w:gridCol w:w="2030"/>
      </w:tblGrid>
      <w:tr>
        <w:trPr>
          <w:trHeight w:val="647"/>
        </w:trPr>
        <w:tc>
          <w:tcPr>
            <w:tcW w:w="42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062"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03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519"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42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2030"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上一年度的财务报告情况（成立不满一年无需提供）</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供应商信用承诺函；</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06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1"/>
        </w:trPr>
        <w:tc>
          <w:tcPr>
            <w:gridSpan w:val="3"/>
            <w:tcW w:w="85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color w:val="auto"/>
                <w:szCs w:val="21"/>
                <w:highlight w:val="none"/>
              </w:rPr>
              <w:t xml:space="preserve">无</w:t>
            </w:r>
            <w:r/>
          </w:p>
        </w:tc>
      </w:tr>
      <w:tr>
        <w:trPr>
          <w:trHeight w:val="400"/>
        </w:trPr>
        <w:tc>
          <w:tcPr>
            <w:gridSpan w:val="3"/>
            <w:tcW w:w="85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rPr>
                <w:rFonts w:hint="eastAsia" w:ascii="宋体" w:hAnsi="宋体" w:cs="宋体"/>
                <w:bCs/>
                <w:color w:val="auto"/>
                <w:szCs w:val="21"/>
                <w:highlight w:val="none"/>
              </w:rPr>
              <w:t xml:space="preserve">无</w:t>
            </w:r>
            <w:r/>
          </w:p>
        </w:tc>
      </w:tr>
      <w:tr>
        <w:trPr>
          <w:trHeight w:val="400"/>
        </w:trPr>
        <w:tc>
          <w:tcPr>
            <w:gridSpan w:val="3"/>
            <w:tcW w:w="8519" w:type="dxa"/>
            <w:vAlign w:val="center"/>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062"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062"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1476"/>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987"/>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    ）号招标文件，正式授权下述签字人_________________(姓名)代表我方______________（投标人的名称），全权处理本次项目投标的有关事宜。</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8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8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8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7"/>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8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8"/>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8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8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pStyle w:val="773"/>
        <w:ind w:firstLine="420"/>
        <w:rPr>
          <w:color w:val="auto"/>
          <w:highlight w:val="none"/>
        </w:rPr>
      </w:pPr>
      <w:r>
        <w:rPr>
          <w:rFonts w:hint="eastAsia"/>
          <w:color w:val="auto"/>
          <w:highlight w:val="none"/>
        </w:rPr>
        <w:t xml:space="preserve">法定代表人身份证：</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pStyle w:val="956"/>
        <w:rPr>
          <w:rFonts w:hint="eastAsia" w:ascii="宋体" w:hAnsi="宋体" w:eastAsia="宋体" w:cs="宋体"/>
          <w:color w:val="auto"/>
          <w:sz w:val="32"/>
          <w:highlight w:val="none"/>
        </w:rPr>
      </w:pPr>
      <w:r/>
      <w:bookmarkStart w:id="72" w:name="_Toc9345"/>
      <w:r/>
      <w:bookmarkStart w:id="73" w:name="_Toc16911"/>
      <w:r/>
      <w:bookmarkStart w:id="74" w:name="_Toc20616"/>
      <w:r>
        <w:rPr>
          <w:rFonts w:hint="eastAsia" w:ascii="宋体" w:hAnsi="宋体" w:eastAsia="宋体" w:cs="宋体"/>
          <w:color w:val="auto"/>
          <w:sz w:val="32"/>
          <w:highlight w:val="none"/>
        </w:rPr>
        <w:t xml:space="preserve">二、符合性审查响应对照表</w:t>
      </w:r>
      <w:bookmarkEnd w:id="72"/>
      <w:r/>
      <w:bookmarkEnd w:id="73"/>
      <w:r/>
      <w:bookmarkEnd w:id="74"/>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56"/>
        <w:rPr>
          <w:rFonts w:hint="eastAsia" w:ascii="宋体" w:hAnsi="宋体" w:eastAsia="宋体" w:cs="宋体"/>
          <w:color w:val="auto"/>
          <w:sz w:val="32"/>
          <w:highlight w:val="none"/>
        </w:rPr>
      </w:pPr>
      <w:r/>
      <w:bookmarkStart w:id="75" w:name="_Toc29406"/>
      <w:r/>
      <w:bookmarkStart w:id="76" w:name="_Toc23420"/>
      <w:r/>
      <w:bookmarkStart w:id="77" w:name="_Toc23068"/>
      <w:r>
        <w:rPr>
          <w:rFonts w:hint="eastAsia" w:ascii="宋体" w:hAnsi="宋体" w:eastAsia="宋体" w:cs="宋体"/>
          <w:color w:val="auto"/>
          <w:sz w:val="32"/>
          <w:highlight w:val="none"/>
        </w:rPr>
        <w:t xml:space="preserve">三、非实质性响应对照表</w:t>
      </w:r>
      <w:bookmarkEnd w:id="75"/>
      <w:r/>
      <w:bookmarkEnd w:id="76"/>
      <w:r/>
      <w:bookmarkEnd w:id="7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pStyle w:val="773"/>
              <w:rPr>
                <w:color w:val="auto"/>
                <w:highlight w:val="none"/>
              </w:rPr>
            </w:pPr>
            <w:r>
              <w:rPr>
                <w:rFonts w:hint="eastAsia"/>
                <w:color w:val="auto"/>
                <w:highlight w:val="none"/>
              </w:rPr>
              <w:t xml:space="preserve">《中小企业声明函》</w:t>
            </w:r>
            <w:r/>
          </w:p>
          <w:p>
            <w:pPr>
              <w:spacing w:line="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（工业）行业</w:t>
      </w:r>
      <w:r>
        <w:rPr>
          <w:rFonts w:hint="eastAsia" w:ascii="宋体" w:hAnsi="宋体" w:cs="宋体"/>
          <w:color w:val="auto"/>
          <w:highlight w:val="none"/>
          <w:u w:val="single"/>
        </w:rPr>
        <w:t xml:space="preserve">（不得对行业类别修改）</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（工业）行业</w:t>
      </w:r>
      <w:r>
        <w:rPr>
          <w:rFonts w:hint="eastAsia" w:ascii="宋体" w:hAnsi="宋体" w:cs="宋体"/>
          <w:color w:val="auto"/>
          <w:highlight w:val="none"/>
          <w:u w:val="single"/>
        </w:rPr>
        <w:t xml:space="preserve">（不得对行业类别修改）；</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 □小型企业 □微型企业）；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备注：</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1.从业人员、营业收入、资产总额填报上一年度数据，无上一年度数据的新成立企业可不填报。</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2.专门面向中小微型企业采购的项目，投标人如不按要求提供此声明函，则不能通过资格审查；非专门面向中小微型企业采购的项目，投标人如不</w:t>
      </w:r>
      <w:r>
        <w:rPr>
          <w:rFonts w:hint="eastAsia"/>
          <w:color w:val="auto"/>
          <w:highlight w:val="none"/>
        </w:rPr>
        <w:t xml:space="preserve">按要求</w:t>
      </w:r>
      <w:r>
        <w:rPr>
          <w:rFonts w:hint="eastAsia" w:ascii="宋体" w:hAnsi="宋体"/>
          <w:color w:val="auto"/>
          <w:highlight w:val="none"/>
        </w:rPr>
        <w:t xml:space="preserve">提供此声明函，价格将不做相应扣除。</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spacing w:line="360" w:lineRule="auto"/>
        <w:rPr>
          <w:color w:val="auto"/>
          <w:highlight w:val="none"/>
        </w:rPr>
      </w:pPr>
      <w:r>
        <w:rPr>
          <w:rFonts w:hint="eastAsia" w:ascii="宋体" w:hAnsi="宋体" w:cs="宋体"/>
          <w:color w:val="auto"/>
          <w:szCs w:val="21"/>
          <w:highlight w:val="none"/>
        </w:rPr>
        <w:t xml:space="preserve">4.声明函请按照第四章项目需求中的采购清单逐项填写，应涵盖本项目所有货物，否则视为不符合要求。</w:t>
      </w:r>
      <w:r>
        <w:rPr>
          <w:rFonts w:hint="eastAsia" w:ascii="宋体" w:hAnsi="宋体"/>
          <w:color w:val="auto"/>
          <w:highlight w:val="none"/>
        </w:rPr>
        <w:t xml:space="preserve"> </w:t>
      </w:r>
      <w:r/>
    </w:p>
    <w:p>
      <w:pPr>
        <w:ind w:firstLine="4620"/>
        <w:jc w:val="left"/>
        <w:spacing w:line="360" w:lineRule="auto"/>
        <w:rPr>
          <w:color w:val="auto"/>
          <w:highlight w:val="none"/>
        </w:rPr>
      </w:pPr>
      <w:r>
        <w:rPr>
          <w:color w:val="auto"/>
          <w:highlight w:val="none"/>
        </w:rPr>
      </w:r>
      <w:r/>
    </w:p>
    <w:p>
      <w:pPr>
        <w:ind w:firstLine="4620"/>
        <w:jc w:val="left"/>
        <w:spacing w:line="360" w:lineRule="auto"/>
        <w:rPr>
          <w:color w:val="auto"/>
          <w:highlight w:val="none"/>
        </w:rPr>
      </w:pPr>
      <w:r>
        <w:rPr>
          <w:rFonts w:hint="eastAsia"/>
          <w:color w:val="auto"/>
          <w:highlight w:val="none"/>
        </w:rPr>
        <w:t xml:space="preserve">企业名称（盖章）：</w:t>
      </w:r>
      <w:r/>
    </w:p>
    <w:p>
      <w:pPr>
        <w:jc w:val="left"/>
        <w:spacing w:line="360" w:lineRule="auto"/>
        <w:rPr>
          <w:color w:val="auto"/>
          <w:highlight w:val="none"/>
        </w:rPr>
      </w:pPr>
      <w:r>
        <w:rPr>
          <w:rFonts w:hint="eastAsia"/>
          <w:color w:val="auto"/>
          <w:highlight w:val="none"/>
        </w:rPr>
        <w:t xml:space="preserve">                                                      日 期：</w:t>
      </w:r>
      <w:r/>
    </w:p>
    <w:p>
      <w:pPr>
        <w:rPr>
          <w:rStyle w:val="982"/>
          <w:rFonts w:hint="eastAsia" w:ascii="宋体" w:hAnsi="宋体" w:cs="宋体"/>
          <w:color w:val="auto"/>
          <w:szCs w:val="21"/>
          <w:highlight w:val="none"/>
        </w:rPr>
      </w:pPr>
      <w:r>
        <w:rPr>
          <w:rStyle w:val="982"/>
          <w:rFonts w:hint="eastAsia" w:ascii="宋体" w:hAnsi="宋体" w:cs="宋体"/>
          <w:color w:val="auto"/>
          <w:szCs w:val="21"/>
          <w:highlight w:val="none"/>
        </w:rPr>
        <w:br w:type="page" w:clear="all"/>
      </w:r>
      <w:r/>
    </w:p>
    <w:p>
      <w:pPr>
        <w:jc w:val="center"/>
        <w:rPr>
          <w:rStyle w:val="982"/>
          <w:rFonts w:hint="eastAsia" w:ascii="宋体" w:hAnsi="宋体" w:cs="宋体"/>
          <w:color w:val="auto"/>
          <w:szCs w:val="21"/>
          <w:highlight w:val="none"/>
        </w:rPr>
      </w:pPr>
      <w:r>
        <w:rPr>
          <w:rStyle w:val="982"/>
          <w:rFonts w:hint="eastAsia" w:ascii="宋体" w:hAnsi="宋体" w:cs="宋体"/>
          <w:color w:val="auto"/>
          <w:szCs w:val="21"/>
          <w:highlight w:val="none"/>
        </w:rPr>
        <w:t xml:space="preserve">中小微企业划型标准</w:t>
      </w:r>
      <w:r/>
    </w:p>
    <w:p>
      <w:pPr>
        <w:pStyle w:val="977"/>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82"/>
          <w:rFonts w:hint="eastAsia" w:ascii="宋体" w:hAnsi="宋体" w:cs="宋体"/>
          <w:color w:val="auto"/>
          <w:sz w:val="21"/>
          <w:szCs w:val="21"/>
          <w:highlight w:val="none"/>
        </w:rPr>
        <w:t xml:space="preserve">中小微企业划型标准如下：</w:t>
      </w:r>
      <w:r/>
    </w:p>
    <w:tbl>
      <w:tblPr>
        <w:tblStyle w:val="767"/>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77"/>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ind w:firstLine="420"/>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bl>
    <w:p>
      <w:pPr>
        <w:pStyle w:val="977"/>
        <w:ind w:firstLine="810"/>
        <w:spacing w:before="300" w:after="452" w:line="360" w:lineRule="auto"/>
        <w:widowControl/>
        <w:rPr>
          <w:rStyle w:val="982"/>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57"/>
        <w:rPr>
          <w:rFonts w:hint="eastAsia" w:ascii="宋体" w:hAnsi="宋体" w:cs="宋体"/>
          <w:color w:val="auto"/>
          <w:highlight w:val="none"/>
        </w:rPr>
      </w:pPr>
      <w:r>
        <w:rPr>
          <w:rStyle w:val="982"/>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20"/>
        <w:jc w:val="center"/>
        <w:spacing w:line="588"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8" w:name="_Toc19910"/>
      <w:r/>
      <w:bookmarkStart w:id="79" w:name="_Toc25382"/>
      <w:r>
        <w:rPr>
          <w:rFonts w:hint="eastAsia" w:ascii="宋体" w:hAnsi="宋体" w:cs="宋体"/>
          <w:b/>
          <w:bCs/>
          <w:color w:val="auto"/>
          <w:sz w:val="32"/>
          <w:szCs w:val="44"/>
          <w:highlight w:val="none"/>
        </w:rPr>
        <w:t xml:space="preserve">四、开标一览表</w:t>
      </w:r>
      <w:bookmarkEnd w:id="78"/>
      <w:r/>
      <w:bookmarkEnd w:id="79"/>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76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2607"/>
        </w:trPr>
        <w:tc>
          <w:tcPr>
            <w:tcW w:w="1395" w:type="pct"/>
            <w:vAlign w:val="center"/>
            <w:textDirection w:val="lrTb"/>
            <w:noWrap w:val="false"/>
          </w:tcPr>
          <w:p>
            <w:pPr>
              <w:pStyle w:val="9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8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8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8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62"/>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62"/>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numPr>
          <w:ilvl w:val="0"/>
          <w:numId w:val="11"/>
        </w:numPr>
        <w:jc w:val="center"/>
        <w:rPr>
          <w:rFonts w:hint="eastAsia" w:ascii="宋体" w:hAnsi="宋体" w:cs="宋体"/>
          <w:b/>
          <w:bCs/>
          <w:color w:val="auto"/>
          <w:sz w:val="32"/>
          <w:szCs w:val="44"/>
          <w:highlight w:val="none"/>
        </w:rPr>
      </w:pPr>
      <w:r>
        <w:rPr>
          <w:rFonts w:hint="eastAsia" w:ascii="宋体" w:hAnsi="宋体" w:cs="宋体"/>
          <w:color w:val="auto"/>
          <w:sz w:val="32"/>
          <w:szCs w:val="32"/>
          <w:highlight w:val="none"/>
        </w:rPr>
        <w:br w:type="page" w:clear="all"/>
      </w:r>
      <w:bookmarkStart w:id="80" w:name="_Toc20323"/>
      <w:r/>
      <w:bookmarkStart w:id="81" w:name="_Toc17891"/>
      <w:r>
        <w:rPr>
          <w:rFonts w:hint="eastAsia" w:ascii="宋体" w:hAnsi="宋体" w:cs="宋体"/>
          <w:b/>
          <w:bCs/>
          <w:color w:val="auto"/>
          <w:sz w:val="32"/>
          <w:szCs w:val="44"/>
          <w:highlight w:val="none"/>
        </w:rPr>
        <w:t xml:space="preserve">投标产品配置及分项报价表</w:t>
      </w:r>
      <w:bookmarkEnd w:id="80"/>
      <w:r/>
      <w:bookmarkEnd w:id="81"/>
      <w:r/>
      <w:r/>
    </w:p>
    <w:tbl>
      <w:tblPr>
        <w:tblStyle w:val="76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983"/>
        <w:gridCol w:w="1738"/>
        <w:gridCol w:w="731"/>
        <w:gridCol w:w="689"/>
        <w:gridCol w:w="689"/>
        <w:gridCol w:w="689"/>
        <w:gridCol w:w="692"/>
        <w:gridCol w:w="922"/>
        <w:gridCol w:w="922"/>
      </w:tblGrid>
      <w:tr>
        <w:trPr>
          <w:jc w:val="center"/>
          <w:trHeight w:val="400"/>
        </w:trPr>
        <w:tc>
          <w:tcPr>
            <w:tcW w:w="27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序号</w:t>
            </w:r>
            <w:r/>
          </w:p>
        </w:tc>
        <w:tc>
          <w:tcPr>
            <w:tcW w:w="577"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类型</w:t>
            </w:r>
            <w:r/>
          </w:p>
        </w:tc>
        <w:tc>
          <w:tcPr>
            <w:tcW w:w="1020"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产品名称</w:t>
            </w:r>
            <w:r/>
          </w:p>
        </w:tc>
        <w:tc>
          <w:tcPr>
            <w:tcW w:w="429"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品牌、规格、型号</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产地</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交付期</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数量</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单位</w:t>
            </w:r>
            <w:r/>
          </w:p>
        </w:tc>
        <w:tc>
          <w:tcPr>
            <w:tcW w:w="54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单价（元）</w:t>
            </w:r>
            <w:r/>
          </w:p>
        </w:tc>
        <w:tc>
          <w:tcPr>
            <w:tcW w:w="54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总价（元）</w:t>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软件部分</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第三方接口费</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普通病区通用硬件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普通病房床头分机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08"/>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IC卡</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ICU病区硬件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智慧示范病区专用硬件软件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429"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429"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57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1020"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施工辅材（含交换机、施工、辅材等，需满足系统设备的使用需求）</w:t>
            </w:r>
            <w:r/>
          </w:p>
        </w:tc>
        <w:tc>
          <w:tcPr>
            <w:tcW w:w="429"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77"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pct"/>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429"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7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rPr>
                <w:rFonts w:ascii="Times New Roman" w:hAnsi="Times New Roman"/>
                <w:color w:val="auto"/>
                <w:szCs w:val="21"/>
                <w:highlight w:val="none"/>
              </w:rPr>
            </w:pPr>
            <w:r>
              <w:rPr>
                <w:rFonts w:hint="eastAsia" w:ascii="宋体" w:hAnsi="宋体" w:cs="宋体"/>
                <w:color w:val="auto"/>
                <w:szCs w:val="21"/>
                <w:highlight w:val="none"/>
              </w:rPr>
              <w:t xml:space="preserve">合计（元）</w:t>
            </w:r>
            <w:r/>
          </w:p>
        </w:tc>
        <w:tc>
          <w:tcPr>
            <w:gridSpan w:val="5"/>
            <w:tcW w:w="204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bl>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rPr>
          <w:rFonts w:hint="eastAsia" w:ascii="宋体" w:hAnsi="宋体" w:cs="宋体"/>
          <w:b/>
          <w:bCs/>
          <w:color w:val="auto"/>
          <w:highlight w:val="none"/>
        </w:rPr>
      </w:pPr>
      <w:r>
        <w:rPr>
          <w:rFonts w:hint="eastAsia" w:ascii="宋体" w:hAnsi="宋体" w:cs="宋体"/>
          <w:color w:val="auto"/>
          <w:sz w:val="24"/>
          <w:szCs w:val="24"/>
          <w:highlight w:val="none"/>
        </w:rPr>
        <w:t xml:space="preserve">2、行数不够，可自行添加。</w:t>
      </w:r>
      <w:r/>
    </w:p>
    <w:p>
      <w:pPr>
        <w:pStyle w:val="7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rPr>
          <w:rFonts w:hint="eastAsia" w:ascii="宋体" w:hAnsi="宋体" w:eastAsia="宋体" w:cs="宋体"/>
          <w:color w:val="auto"/>
          <w:sz w:val="32"/>
          <w:highlight w:val="none"/>
        </w:rPr>
      </w:pPr>
      <w:r/>
      <w:bookmarkStart w:id="82" w:name="_Toc5967"/>
      <w:r/>
      <w:bookmarkStart w:id="83" w:name="_Toc9678"/>
      <w:r/>
      <w:bookmarkStart w:id="84" w:name="_Toc16517"/>
      <w:r>
        <w:rPr>
          <w:rFonts w:hint="eastAsia" w:ascii="宋体" w:hAnsi="宋体" w:eastAsia="宋体" w:cs="宋体"/>
          <w:color w:val="auto"/>
          <w:sz w:val="32"/>
          <w:highlight w:val="none"/>
        </w:rPr>
        <w:t xml:space="preserve">六、技术参数响应及偏离表</w:t>
      </w:r>
      <w:bookmarkEnd w:id="82"/>
      <w:r/>
      <w:bookmarkEnd w:id="83"/>
      <w:r/>
      <w:bookmarkEnd w:id="84"/>
      <w:r/>
      <w:r/>
    </w:p>
    <w:tbl>
      <w:tblPr>
        <w:tblStyle w:val="767"/>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w:t>
      </w:r>
      <w:r>
        <w:rPr>
          <w:rFonts w:hint="eastAsia" w:ascii="宋体" w:hAnsi="宋体" w:cs="宋体"/>
          <w:i/>
          <w:iCs/>
          <w:color w:val="auto"/>
          <w:sz w:val="24"/>
          <w:szCs w:val="24"/>
          <w:highlight w:val="none"/>
          <w:u w:val="single"/>
        </w:rPr>
        <w:t xml:space="preserve">根据第四章 项目需求 1.2产品参数要求逐项如实填写技术参数响应及偏离表中响应情况，应涵盖本项目需求所有产品参数，否则视为无效投标。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85" w:name="_Hlt26955054"/>
      <w:r/>
      <w:bookmarkEnd w:id="85"/>
      <w:r/>
      <w:bookmarkStart w:id="86" w:name="_Toc32154"/>
      <w:r/>
      <w:bookmarkStart w:id="87" w:name="_Toc16820"/>
      <w:r>
        <w:rPr>
          <w:rFonts w:hint="eastAsia" w:ascii="宋体" w:hAnsi="宋体" w:cs="宋体"/>
          <w:b/>
          <w:bCs/>
          <w:color w:val="auto"/>
          <w:sz w:val="32"/>
          <w:szCs w:val="44"/>
          <w:highlight w:val="none"/>
        </w:rPr>
        <w:t xml:space="preserve">七、商务条款响应及偏离表</w:t>
      </w:r>
      <w:bookmarkEnd w:id="86"/>
      <w:r/>
      <w:bookmarkEnd w:id="87"/>
      <w:r/>
      <w:r/>
    </w:p>
    <w:tbl>
      <w:tblPr>
        <w:tblStyle w:val="767"/>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auto"/>
                <w:szCs w:val="21"/>
                <w:highlight w:val="none"/>
              </w:rPr>
            </w:pPr>
            <w:r/>
            <w:bookmarkStart w:id="88" w:name="_Hlt26955064"/>
            <w:r/>
            <w:bookmarkEnd w:id="88"/>
            <w:r/>
            <w:bookmarkStart w:id="89" w:name="_Hlt26580838"/>
            <w:r/>
            <w:bookmarkEnd w:id="89"/>
            <w:r/>
            <w:bookmarkStart w:id="90" w:name="_Hlt26609391"/>
            <w:r/>
            <w:bookmarkEnd w:id="90"/>
            <w:r/>
            <w:bookmarkStart w:id="91" w:name="_Hlt24879081"/>
            <w:r/>
            <w:bookmarkEnd w:id="91"/>
            <w:r/>
            <w:bookmarkStart w:id="92" w:name="_Hlt26671343"/>
            <w:r/>
            <w:bookmarkEnd w:id="92"/>
            <w:r/>
            <w:bookmarkStart w:id="93" w:name="_Hlt26955056"/>
            <w:r/>
            <w:bookmarkEnd w:id="93"/>
            <w:r/>
            <w:bookmarkStart w:id="94" w:name="_Hlt26782999"/>
            <w:r/>
            <w:bookmarkEnd w:id="94"/>
            <w:r/>
            <w:bookmarkStart w:id="95" w:name="_Hlt26671372"/>
            <w:r/>
            <w:bookmarkEnd w:id="95"/>
            <w:r>
              <w:rPr>
                <w:rFonts w:hint="eastAsia" w:ascii="宋体" w:hAnsi="宋体" w:cs="宋体"/>
                <w:color w:val="auto"/>
                <w:szCs w:val="21"/>
                <w:highlight w:val="none"/>
              </w:rPr>
              <w:t xml:space="preserve">项目</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50"/>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17"/>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6"/>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3"/>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962"/>
        <w:ind w:firstLine="480"/>
        <w:rPr>
          <w:rFonts w:hint="eastAsia" w:ascii="宋体" w:hAnsi="宋体" w:cs="宋体"/>
          <w:color w:val="auto"/>
          <w:sz w:val="24"/>
          <w:highlight w:val="none"/>
        </w:rPr>
      </w:pPr>
      <w:r/>
      <w:bookmarkStart w:id="96" w:name="_Hlt26671374"/>
      <w:r/>
      <w:bookmarkEnd w:id="96"/>
      <w:r/>
      <w:bookmarkStart w:id="97" w:name="_Hlt26955066"/>
      <w:r/>
      <w:bookmarkEnd w:id="97"/>
      <w:r/>
      <w:bookmarkStart w:id="98" w:name="_Hlt26609389"/>
      <w:r/>
      <w:bookmarkEnd w:id="98"/>
      <w:r/>
      <w:bookmarkStart w:id="99" w:name="_Toc462564146"/>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rPr>
          <w:rFonts w:hint="eastAsia" w:ascii="宋体" w:hAnsi="宋体" w:cs="宋体"/>
          <w:color w:val="auto"/>
          <w:sz w:val="24"/>
          <w:highlight w:val="none"/>
        </w:rPr>
      </w:pPr>
      <w:r>
        <w:rPr>
          <w:rFonts w:hint="eastAsia" w:ascii="宋体" w:hAnsi="宋体" w:cs="宋体"/>
          <w:color w:val="auto"/>
          <w:sz w:val="24"/>
          <w:highlight w:val="none"/>
        </w:rPr>
      </w:r>
      <w:bookmarkEnd w:id="99"/>
      <w:r/>
      <w:r/>
    </w:p>
    <w:p>
      <w:pPr>
        <w:jc w:val="center"/>
        <w:widowControl/>
        <w:rPr>
          <w:rFonts w:hint="eastAsia" w:ascii="宋体" w:hAnsi="宋体" w:cs="宋体"/>
          <w:b/>
          <w:color w:val="auto"/>
          <w:highlight w:val="none"/>
        </w:rPr>
      </w:pPr>
      <w:r/>
      <w:bookmarkStart w:id="100" w:name="_格式2__法定代表人授权书"/>
      <w:r/>
      <w:bookmarkEnd w:id="100"/>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6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t xml:space="preserve">所有供应商全称：</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                                      法定代表人：  </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pPr>
    <w:r>
      <w:rPr>
        <w:rFonts w:hint="eastAsia"/>
        <w:lang w:eastAsia="zh-CN"/>
      </w:rPr>
      <w:t xml:space="preserve">JSZC-321000-SWGC-G2025-0237</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pPr>
    <w:r>
      <w:rPr>
        <w:rFonts w:hint="eastAsia"/>
        <w:lang w:eastAsia="zh-CN"/>
      </w:rPr>
      <w:t xml:space="preserve">JSZC-321000-SWGC-G2025-0237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40" w:hanging="440"/>
      </w:pPr>
      <w:rPr>
        <w:rFonts w:hint="eastAsia" w:eastAsia="宋体"/>
        <w:color w:val="000000" w:themeColor="text1"/>
        <w14:textFill>
          <w14:solidFill>
            <w14:schemeClr w14:val="tx1"/>
          </w14:solidFill>
        </w14:textFil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8"/>
      <w:isLgl w:val="false"/>
      <w:suff w:val="nothing"/>
      <w:lvlText w:val="%1."/>
      <w:lvlJc w:val="left"/>
      <w:pPr>
        <w:ind w:left="392" w:firstLine="0"/>
      </w:pPr>
      <w:rPr>
        <w:rFonts w:hint="eastAsia" w:ascii="Calibri" w:hAnsi="Calibri" w:eastAsia="宋体" w:cs="Calibri"/>
        <w:b/>
        <w:bCs/>
        <w:i w:val="0"/>
        <w:iCs w:val="0"/>
        <w:caps w:val="0"/>
        <w:smallCaps w:val="0"/>
        <w:strike w:val="0"/>
        <w:spacing w:val="0"/>
        <w:position w:val="0"/>
        <w:highlight w:val="none"/>
        <w:vertAlign w:val="baseline"/>
      </w:rPr>
    </w:lvl>
    <w:lvl w:ilvl="1">
      <w:start w:val="1"/>
      <w:numFmt w:val="decimal"/>
      <w:isLgl w:val="false"/>
      <w:suff w:val="nothing"/>
      <w:lvlText w:val="%1.%2."/>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2">
      <w:start w:val="1"/>
      <w:numFmt w:val="decimal"/>
      <w:isLgl w:val="false"/>
      <w:suff w:val="nothing"/>
      <w:lvlText w:val="%1.%2.%3."/>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3">
      <w:start w:val="1"/>
      <w:numFmt w:val="decimal"/>
      <w:isLgl w:val="false"/>
      <w:suff w:val="nothing"/>
      <w:lvlText w:val="%1.%2.%3.%4."/>
      <w:lvlJc w:val="left"/>
      <w:pPr>
        <w:ind w:left="984" w:hanging="592"/>
      </w:pPr>
      <w:rPr>
        <w:rFonts w:hint="eastAsia" w:ascii="Calibri" w:hAnsi="Calibri" w:eastAsia="宋体" w:cs="Calibri"/>
        <w:b/>
        <w:bCs/>
        <w:i w:val="0"/>
        <w:iCs w:val="0"/>
        <w:caps w:val="0"/>
        <w:smallCaps w:val="0"/>
        <w:strike w:val="0"/>
        <w:spacing w:val="0"/>
        <w:position w:val="0"/>
        <w:highlight w:val="none"/>
        <w:vertAlign w:val="baseline"/>
      </w:rPr>
    </w:lvl>
    <w:lvl w:ilvl="4">
      <w:start w:val="1"/>
      <w:numFmt w:val="decimal"/>
      <w:isLgl w:val="false"/>
      <w:suff w:val="nothing"/>
      <w:lvlText w:val="%1.%2.%3.%4.%5."/>
      <w:lvlJc w:val="left"/>
      <w:pPr>
        <w:ind w:left="1814" w:hanging="1422"/>
      </w:pPr>
      <w:rPr>
        <w:rFonts w:hint="eastAsia" w:ascii="Calibri" w:hAnsi="Calibri" w:eastAsia="宋体" w:cs="Calibri"/>
        <w:b/>
        <w:bCs/>
        <w:i w:val="0"/>
        <w:iCs w:val="0"/>
        <w:caps w:val="0"/>
        <w:smallCaps w:val="0"/>
        <w:strike w:val="0"/>
        <w:spacing w:val="0"/>
        <w:position w:val="0"/>
        <w:highlight w:val="none"/>
        <w:vertAlign w:val="baseline"/>
      </w:rPr>
    </w:lvl>
    <w:lvl w:ilvl="5">
      <w:start w:val="1"/>
      <w:numFmt w:val="decimal"/>
      <w:isLgl w:val="false"/>
      <w:suff w:val="nothing"/>
      <w:lvlText w:val="%1.%2.%3.%4.%5.%6."/>
      <w:lvlJc w:val="left"/>
      <w:pPr>
        <w:ind w:left="1958" w:hanging="1566"/>
      </w:pPr>
      <w:rPr>
        <w:rFonts w:hint="eastAsia" w:ascii="Calibri" w:hAnsi="Calibri" w:eastAsia="宋体" w:cs="Calibri"/>
        <w:b/>
        <w:bCs/>
        <w:i w:val="0"/>
        <w:iCs w:val="0"/>
        <w:caps w:val="0"/>
        <w:smallCaps w:val="0"/>
        <w:strike w:val="0"/>
        <w:spacing w:val="0"/>
        <w:position w:val="0"/>
        <w:highlight w:val="none"/>
        <w:vertAlign w:val="baseline"/>
      </w:rPr>
    </w:lvl>
    <w:lvl w:ilvl="6">
      <w:start w:val="1"/>
      <w:numFmt w:val="decimal"/>
      <w:isLgl w:val="false"/>
      <w:suff w:val="nothing"/>
      <w:lvlText w:val="%1.%2.%3.%4.%5.%6.%7."/>
      <w:lvlJc w:val="left"/>
      <w:pPr>
        <w:ind w:left="2102" w:hanging="1710"/>
      </w:pPr>
      <w:rPr>
        <w:rFonts w:hint="eastAsia" w:ascii="Calibri" w:hAnsi="Calibri" w:eastAsia="宋体" w:cs="Calibri"/>
        <w:b/>
        <w:bCs/>
        <w:i w:val="0"/>
        <w:iCs w:val="0"/>
        <w:caps w:val="0"/>
        <w:smallCaps w:val="0"/>
        <w:strike w:val="0"/>
        <w:spacing w:val="0"/>
        <w:position w:val="0"/>
        <w:highlight w:val="none"/>
        <w:vertAlign w:val="baseline"/>
      </w:rPr>
    </w:lvl>
    <w:lvl w:ilvl="7">
      <w:start w:val="1"/>
      <w:numFmt w:val="decimal"/>
      <w:isLgl w:val="false"/>
      <w:suff w:val="nothing"/>
      <w:lvlText w:val="%1.%2.%3.%4.%5.%6.%7.%8."/>
      <w:lvlJc w:val="left"/>
      <w:pPr>
        <w:ind w:left="2246" w:hanging="1854"/>
      </w:pPr>
      <w:rPr>
        <w:rFonts w:hint="eastAsia" w:ascii="Calibri" w:hAnsi="Calibri" w:eastAsia="宋体" w:cs="Calibri"/>
        <w:b/>
        <w:bCs/>
        <w:i w:val="0"/>
        <w:iCs w:val="0"/>
        <w:caps w:val="0"/>
        <w:smallCaps w:val="0"/>
        <w:strike w:val="0"/>
        <w:spacing w:val="0"/>
        <w:position w:val="0"/>
        <w:highlight w:val="none"/>
        <w:vertAlign w:val="baseline"/>
      </w:rPr>
    </w:lvl>
    <w:lvl w:ilvl="8">
      <w:start w:val="1"/>
      <w:numFmt w:val="decimal"/>
      <w:isLgl w:val="false"/>
      <w:suff w:val="nothing"/>
      <w:lvlText w:val="%1.%2.%3.%4.%5.%6.%7.%8.%9."/>
      <w:lvlJc w:val="left"/>
      <w:pPr>
        <w:ind w:left="2390" w:hanging="1998"/>
      </w:pPr>
      <w:rPr>
        <w:rFonts w:hint="eastAsia" w:ascii="Calibri" w:hAnsi="Calibri" w:eastAsia="宋体" w:cs="Calibri"/>
        <w:b/>
        <w:bCs/>
        <w:i w:val="0"/>
        <w:iCs w:val="0"/>
        <w:caps w:val="0"/>
        <w:smallCaps w:val="0"/>
        <w:strike w:val="0"/>
        <w:spacing w:val="0"/>
        <w:position w:val="0"/>
        <w:highlight w:val="none"/>
        <w:vertAlign w:val="baseline"/>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第%1章"/>
      <w:lvlJc w:val="center"/>
      <w:pPr>
        <w:ind w:left="0" w:firstLine="0"/>
      </w:pPr>
      <w:rPr>
        <w:rFonts w:hint="default" w:eastAsia="宋体" w:asciiTheme="minorEastAsia"/>
        <w:b/>
        <w:i w:val="0"/>
        <w:sz w:val="36"/>
      </w:rPr>
    </w:lvl>
    <w:lvl w:ilvl="1">
      <w:start w:val="1"/>
      <w:numFmt w:val="decimal"/>
      <w:pStyle w:val="769"/>
      <w:isLgl w:val="false"/>
      <w:suff w:val="space"/>
      <w:lvlText w:val="%1.%2"/>
      <w:lvlJc w:val="left"/>
      <w:pPr>
        <w:ind w:left="0" w:firstLine="0"/>
      </w:pPr>
      <w:rPr>
        <w:rFonts w:hint="eastAsia" w:eastAsia="宋体"/>
        <w:b/>
        <w:i w:val="0"/>
        <w:sz w:val="32"/>
      </w:rPr>
    </w:lvl>
    <w:lvl w:ilvl="2">
      <w:start w:val="1"/>
      <w:numFmt w:val="decimal"/>
      <w:isLgl w:val="false"/>
      <w:suff w:val="space"/>
      <w:lvlText w:val="%1.%2.%3"/>
      <w:lvlJc w:val="left"/>
      <w:pPr>
        <w:ind w:left="0" w:firstLine="0"/>
      </w:pPr>
      <w:rPr>
        <w:rFonts w:hint="eastAsia" w:eastAsia="宋体"/>
        <w:b/>
        <w:i w:val="0"/>
        <w:sz w:val="28"/>
      </w:rPr>
    </w:lvl>
    <w:lvl w:ilvl="3">
      <w:start w:val="1"/>
      <w:numFmt w:val="decimal"/>
      <w:isLgl w:val="false"/>
      <w:suff w:val="space"/>
      <w:lvlText w:val="%1.%2.%3.%4"/>
      <w:lvlJc w:val="left"/>
      <w:pPr>
        <w:ind w:left="0" w:firstLine="0"/>
      </w:pPr>
      <w:rPr>
        <w:rFonts w:hint="eastAsia" w:ascii="宋体" w:eastAsia="宋体"/>
        <w:b/>
        <w:i w:val="0"/>
        <w:sz w:val="24"/>
      </w:rPr>
    </w:lvl>
    <w:lvl w:ilvl="4">
      <w:start w:val="1"/>
      <w:numFmt w:val="decimal"/>
      <w:isLgl w:val="false"/>
      <w:suff w:val="tab"/>
      <w:lvlText w:val="%1.%2.%3.%4.%5"/>
      <w:lvlJc w:val="left"/>
      <w:pPr>
        <w:ind w:left="1008" w:hanging="1008"/>
      </w:pPr>
      <w:rPr>
        <w:rFonts w:hint="eastAsia" w:eastAsia="宋体"/>
        <w:b/>
        <w:i w:val="0"/>
        <w:sz w:val="24"/>
      </w:rPr>
    </w:lvl>
    <w:lvl w:ilvl="5">
      <w:start w:val="1"/>
      <w:numFmt w:val="decimal"/>
      <w:isLgl w:val="false"/>
      <w:suff w:val="tab"/>
      <w:lvlText w:val="%1.%2.%3.%4.%5.%6"/>
      <w:lvlJc w:val="left"/>
      <w:pPr>
        <w:ind w:left="0" w:firstLine="0"/>
      </w:pPr>
      <w:rPr>
        <w:rFonts w:hint="eastAsia" w:eastAsia="宋体"/>
        <w:b/>
        <w:i w:val="0"/>
        <w:sz w:val="24"/>
      </w:rPr>
    </w:lvl>
    <w:lvl w:ilvl="6">
      <w:start w:val="1"/>
      <w:numFmt w:val="decimal"/>
      <w:isLgl w:val="false"/>
      <w:suff w:val="tab"/>
      <w:lvlText w:val="%1.%2.%3.%4.%5.%6.%7"/>
      <w:lvlJc w:val="left"/>
      <w:pPr>
        <w:ind w:left="0" w:firstLine="0"/>
      </w:pPr>
      <w:rPr>
        <w:rFonts w:hint="eastAsia" w:eastAsia="宋体"/>
        <w:b/>
        <w:i w:val="0"/>
        <w:sz w:val="24"/>
      </w:rPr>
    </w:lvl>
    <w:lvl w:ilvl="7">
      <w:start w:val="1"/>
      <w:numFmt w:val="decimal"/>
      <w:isLgl w:val="false"/>
      <w:suff w:val="tab"/>
      <w:lvlText w:val="%1.%2.%3.%4.%5.%6.%7.%8"/>
      <w:lvlJc w:val="left"/>
      <w:pPr>
        <w:ind w:left="0" w:firstLine="0"/>
      </w:pPr>
      <w:rPr>
        <w:rFonts w:hint="eastAsia" w:eastAsia="宋体"/>
        <w:b/>
        <w:i w:val="0"/>
        <w:sz w:val="24"/>
      </w:rPr>
    </w:lvl>
    <w:lvl w:ilvl="8">
      <w:start w:val="1"/>
      <w:numFmt w:val="decimal"/>
      <w:isLgl w:val="false"/>
      <w:suff w:val="tab"/>
      <w:lvlText w:val="%1.%2.%3.%4.%5.%6.%7.%8.%9"/>
      <w:lvlJc w:val="left"/>
      <w:pPr>
        <w:ind w:left="-32767" w:firstLine="32767"/>
      </w:pPr>
      <w:rPr>
        <w:rFonts w:hint="eastAsia" w:eastAsia="宋体"/>
        <w:b/>
        <w:i w:val="0"/>
        <w:sz w:val="24"/>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7"/>
  </w:num>
  <w:num w:numId="8">
    <w:abstractNumId w:val="5"/>
  </w:num>
  <w:num w:numId="9">
    <w:abstractNumId w:val="9"/>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6"/>
    <w:link w:val="757"/>
    <w:uiPriority w:val="9"/>
    <w:rPr>
      <w:rFonts w:ascii="Arial" w:hAnsi="Arial" w:eastAsia="Arial" w:cs="Arial"/>
      <w:sz w:val="40"/>
      <w:szCs w:val="40"/>
    </w:rPr>
  </w:style>
  <w:style w:type="character" w:styleId="720">
    <w:name w:val="Heading 2 Char"/>
    <w:basedOn w:val="766"/>
    <w:link w:val="758"/>
    <w:uiPriority w:val="9"/>
    <w:rPr>
      <w:rFonts w:ascii="Arial" w:hAnsi="Arial" w:eastAsia="Arial" w:cs="Arial"/>
      <w:sz w:val="34"/>
    </w:rPr>
  </w:style>
  <w:style w:type="character" w:styleId="721">
    <w:name w:val="Heading 3 Char"/>
    <w:basedOn w:val="766"/>
    <w:link w:val="759"/>
    <w:uiPriority w:val="9"/>
    <w:rPr>
      <w:rFonts w:ascii="Arial" w:hAnsi="Arial" w:eastAsia="Arial" w:cs="Arial"/>
      <w:sz w:val="30"/>
      <w:szCs w:val="30"/>
    </w:rPr>
  </w:style>
  <w:style w:type="character" w:styleId="722">
    <w:name w:val="Heading 4 Char"/>
    <w:basedOn w:val="766"/>
    <w:link w:val="760"/>
    <w:uiPriority w:val="9"/>
    <w:rPr>
      <w:rFonts w:ascii="Arial" w:hAnsi="Arial" w:eastAsia="Arial" w:cs="Arial"/>
      <w:b/>
      <w:bCs/>
      <w:sz w:val="26"/>
      <w:szCs w:val="26"/>
    </w:rPr>
  </w:style>
  <w:style w:type="character" w:styleId="723">
    <w:name w:val="Heading 5 Char"/>
    <w:basedOn w:val="766"/>
    <w:link w:val="761"/>
    <w:uiPriority w:val="9"/>
    <w:rPr>
      <w:rFonts w:ascii="Arial" w:hAnsi="Arial" w:eastAsia="Arial" w:cs="Arial"/>
      <w:b/>
      <w:bCs/>
      <w:sz w:val="24"/>
      <w:szCs w:val="24"/>
    </w:rPr>
  </w:style>
  <w:style w:type="character" w:styleId="724">
    <w:name w:val="Heading 6 Char"/>
    <w:basedOn w:val="766"/>
    <w:link w:val="762"/>
    <w:uiPriority w:val="9"/>
    <w:rPr>
      <w:rFonts w:ascii="Arial" w:hAnsi="Arial" w:eastAsia="Arial" w:cs="Arial"/>
      <w:b/>
      <w:bCs/>
      <w:sz w:val="22"/>
      <w:szCs w:val="22"/>
    </w:rPr>
  </w:style>
  <w:style w:type="character" w:styleId="725">
    <w:name w:val="Heading 7 Char"/>
    <w:basedOn w:val="766"/>
    <w:link w:val="763"/>
    <w:uiPriority w:val="9"/>
    <w:rPr>
      <w:rFonts w:ascii="Arial" w:hAnsi="Arial" w:eastAsia="Arial" w:cs="Arial"/>
      <w:b/>
      <w:bCs/>
      <w:i/>
      <w:iCs/>
      <w:sz w:val="22"/>
      <w:szCs w:val="22"/>
    </w:rPr>
  </w:style>
  <w:style w:type="character" w:styleId="726">
    <w:name w:val="Heading 8 Char"/>
    <w:basedOn w:val="766"/>
    <w:link w:val="764"/>
    <w:uiPriority w:val="9"/>
    <w:rPr>
      <w:rFonts w:ascii="Arial" w:hAnsi="Arial" w:eastAsia="Arial" w:cs="Arial"/>
      <w:i/>
      <w:iCs/>
      <w:sz w:val="22"/>
      <w:szCs w:val="22"/>
    </w:rPr>
  </w:style>
  <w:style w:type="character" w:styleId="727">
    <w:name w:val="Heading 9 Char"/>
    <w:basedOn w:val="766"/>
    <w:link w:val="765"/>
    <w:uiPriority w:val="9"/>
    <w:rPr>
      <w:rFonts w:ascii="Arial" w:hAnsi="Arial" w:eastAsia="Arial" w:cs="Arial"/>
      <w:i/>
      <w:iCs/>
      <w:sz w:val="21"/>
      <w:szCs w:val="21"/>
    </w:rPr>
  </w:style>
  <w:style w:type="character" w:styleId="728">
    <w:name w:val="Title Char"/>
    <w:basedOn w:val="766"/>
    <w:link w:val="792"/>
    <w:uiPriority w:val="10"/>
    <w:rPr>
      <w:sz w:val="48"/>
      <w:szCs w:val="48"/>
    </w:rPr>
  </w:style>
  <w:style w:type="character" w:styleId="729">
    <w:name w:val="Subtitle Char"/>
    <w:basedOn w:val="766"/>
    <w:link w:val="785"/>
    <w:uiPriority w:val="11"/>
    <w:rPr>
      <w:sz w:val="24"/>
      <w:szCs w:val="24"/>
    </w:rPr>
  </w:style>
  <w:style w:type="character" w:styleId="730">
    <w:name w:val="Quote Char"/>
    <w:link w:val="820"/>
    <w:uiPriority w:val="29"/>
    <w:rPr>
      <w:i/>
    </w:rPr>
  </w:style>
  <w:style w:type="character" w:styleId="731">
    <w:name w:val="Intense Quote Char"/>
    <w:link w:val="822"/>
    <w:uiPriority w:val="30"/>
    <w:rPr>
      <w:i/>
    </w:rPr>
  </w:style>
  <w:style w:type="character" w:styleId="732">
    <w:name w:val="Header Char"/>
    <w:basedOn w:val="766"/>
    <w:link w:val="782"/>
    <w:uiPriority w:val="99"/>
  </w:style>
  <w:style w:type="character" w:styleId="733">
    <w:name w:val="Caption Char"/>
    <w:basedOn w:val="772"/>
    <w:link w:val="781"/>
    <w:uiPriority w:val="99"/>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6"/>
    <w:uiPriority w:val="99"/>
    <w:rPr>
      <w:sz w:val="18"/>
    </w:rPr>
  </w:style>
  <w:style w:type="character" w:styleId="754">
    <w:name w:val="Endnote Text Char"/>
    <w:link w:val="780"/>
    <w:uiPriority w:val="99"/>
    <w:rPr>
      <w:sz w:val="20"/>
    </w:rPr>
  </w:style>
  <w:style w:type="paragraph" w:styleId="755">
    <w:name w:val="TOC Heading"/>
    <w:uiPriority w:val="39"/>
    <w:unhideWhenUsed/>
  </w:style>
  <w:style w:type="paragraph" w:styleId="75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7">
    <w:name w:val="Heading 1"/>
    <w:basedOn w:val="768"/>
    <w:next w:val="756"/>
    <w:link w:val="807"/>
    <w:uiPriority w:val="9"/>
    <w:qFormat/>
    <w:pPr>
      <w:keepLines/>
      <w:keepNext/>
      <w:outlineLvl w:val="0"/>
    </w:pPr>
    <w:rPr>
      <w:rFonts w:ascii="Arial" w:hAnsi="Arial" w:cs="Arial"/>
      <w:sz w:val="30"/>
      <w:szCs w:val="40"/>
    </w:rPr>
  </w:style>
  <w:style w:type="paragraph" w:styleId="758">
    <w:name w:val="Heading 2"/>
    <w:basedOn w:val="769"/>
    <w:next w:val="756"/>
    <w:link w:val="808"/>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09"/>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10"/>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11"/>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12"/>
    <w:uiPriority w:val="9"/>
    <w:unhideWhenUsed/>
    <w:qFormat/>
    <w:pPr>
      <w:keepLines/>
      <w:keepNext/>
      <w:spacing w:before="320" w:after="200"/>
      <w:outlineLvl w:val="5"/>
    </w:pPr>
    <w:rPr>
      <w:rFonts w:ascii="Arial" w:hAnsi="Arial" w:eastAsia="Arial" w:cs="Arial"/>
      <w:b/>
      <w:bCs/>
      <w:sz w:val="22"/>
    </w:rPr>
  </w:style>
  <w:style w:type="paragraph" w:styleId="763">
    <w:name w:val="Heading 7"/>
    <w:basedOn w:val="756"/>
    <w:next w:val="756"/>
    <w:link w:val="813"/>
    <w:uiPriority w:val="9"/>
    <w:unhideWhenUsed/>
    <w:qFormat/>
    <w:pPr>
      <w:keepLines/>
      <w:keepNext/>
      <w:spacing w:before="320" w:after="200"/>
      <w:outlineLvl w:val="6"/>
    </w:pPr>
    <w:rPr>
      <w:rFonts w:ascii="Arial" w:hAnsi="Arial" w:eastAsia="Arial" w:cs="Arial"/>
      <w:b/>
      <w:bCs/>
      <w:i/>
      <w:iCs/>
      <w:sz w:val="22"/>
    </w:rPr>
  </w:style>
  <w:style w:type="paragraph" w:styleId="764">
    <w:name w:val="Heading 8"/>
    <w:basedOn w:val="756"/>
    <w:next w:val="756"/>
    <w:link w:val="814"/>
    <w:uiPriority w:val="9"/>
    <w:unhideWhenUsed/>
    <w:qFormat/>
    <w:pPr>
      <w:keepLines/>
      <w:keepNext/>
      <w:spacing w:before="320" w:after="200"/>
      <w:outlineLvl w:val="7"/>
    </w:pPr>
    <w:rPr>
      <w:rFonts w:ascii="Arial" w:hAnsi="Arial" w:eastAsia="Arial" w:cs="Arial"/>
      <w:i/>
      <w:iCs/>
      <w:sz w:val="22"/>
    </w:rPr>
  </w:style>
  <w:style w:type="paragraph" w:styleId="765">
    <w:name w:val="Heading 9"/>
    <w:basedOn w:val="756"/>
    <w:next w:val="756"/>
    <w:link w:val="815"/>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1级标题"/>
    <w:basedOn w:val="756"/>
    <w:next w:val="756"/>
    <w:uiPriority w:val="0"/>
    <w:qFormat/>
    <w:pPr>
      <w:numPr>
        <w:ilvl w:val="0"/>
        <w:numId w:val="1"/>
      </w:numPr>
      <w:jc w:val="center"/>
      <w:spacing w:line="360" w:lineRule="auto"/>
    </w:pPr>
    <w:rPr>
      <w:b/>
      <w:sz w:val="36"/>
    </w:rPr>
  </w:style>
  <w:style w:type="paragraph" w:styleId="769" w:customStyle="1">
    <w:name w:val="2级标题"/>
    <w:basedOn w:val="756"/>
    <w:uiPriority w:val="0"/>
    <w:qFormat/>
    <w:pPr>
      <w:numPr>
        <w:ilvl w:val="1"/>
        <w:numId w:val="2"/>
      </w:numPr>
      <w:spacing w:line="360" w:lineRule="auto"/>
    </w:pPr>
    <w:rPr>
      <w:b/>
      <w:sz w:val="32"/>
    </w:rPr>
  </w:style>
  <w:style w:type="paragraph" w:styleId="770">
    <w:name w:val="toc 7"/>
    <w:basedOn w:val="756"/>
    <w:next w:val="756"/>
    <w:uiPriority w:val="39"/>
    <w:unhideWhenUsed/>
    <w:qFormat/>
    <w:pPr>
      <w:ind w:left="1701"/>
      <w:spacing w:after="57"/>
    </w:pPr>
  </w:style>
  <w:style w:type="paragraph" w:styleId="771">
    <w:name w:val="table of authorities"/>
    <w:basedOn w:val="756"/>
    <w:next w:val="756"/>
    <w:uiPriority w:val="0"/>
    <w:qFormat/>
    <w:pPr>
      <w:ind w:left="420"/>
    </w:pPr>
  </w:style>
  <w:style w:type="paragraph" w:styleId="772">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6"/>
    <w:link w:val="1015"/>
    <w:uiPriority w:val="99"/>
    <w:semiHidden/>
    <w:unhideWhenUsed/>
    <w:qFormat/>
    <w:pPr>
      <w:jc w:val="left"/>
    </w:pPr>
  </w:style>
  <w:style w:type="paragraph" w:styleId="774">
    <w:name w:val="Body Text"/>
    <w:basedOn w:val="756"/>
    <w:uiPriority w:val="99"/>
    <w:unhideWhenUsed/>
    <w:qFormat/>
    <w:pPr>
      <w:spacing w:after="120"/>
    </w:pPr>
  </w:style>
  <w:style w:type="paragraph" w:styleId="775">
    <w:name w:val="Body Text Indent"/>
    <w:basedOn w:val="756"/>
    <w:next w:val="776"/>
    <w:uiPriority w:val="0"/>
    <w:qFormat/>
    <w:pPr>
      <w:ind w:left="420"/>
      <w:spacing w:after="120"/>
    </w:pPr>
    <w:rPr>
      <w:rFonts w:ascii="等线" w:hAnsi="等线" w:eastAsia="等线"/>
    </w:rPr>
  </w:style>
  <w:style w:type="paragraph" w:styleId="776">
    <w:name w:val="envelope return"/>
    <w:basedOn w:val="756"/>
    <w:uiPriority w:val="0"/>
    <w:qFormat/>
    <w:rPr>
      <w:rFonts w:ascii="Arial" w:hAnsi="Arial"/>
    </w:rPr>
  </w:style>
  <w:style w:type="paragraph" w:styleId="777">
    <w:name w:val="toc 5"/>
    <w:basedOn w:val="756"/>
    <w:next w:val="756"/>
    <w:uiPriority w:val="39"/>
    <w:unhideWhenUsed/>
    <w:qFormat/>
    <w:pPr>
      <w:ind w:left="1134"/>
      <w:spacing w:after="57"/>
    </w:pPr>
  </w:style>
  <w:style w:type="paragraph" w:styleId="778">
    <w:name w:val="toc 3"/>
    <w:basedOn w:val="756"/>
    <w:next w:val="756"/>
    <w:uiPriority w:val="39"/>
    <w:unhideWhenUsed/>
    <w:qFormat/>
    <w:pPr>
      <w:ind w:left="567"/>
      <w:spacing w:after="57"/>
    </w:pPr>
  </w:style>
  <w:style w:type="paragraph" w:styleId="779">
    <w:name w:val="toc 8"/>
    <w:basedOn w:val="756"/>
    <w:next w:val="756"/>
    <w:uiPriority w:val="39"/>
    <w:unhideWhenUsed/>
    <w:qFormat/>
    <w:pPr>
      <w:ind w:left="1984"/>
      <w:spacing w:after="57"/>
    </w:pPr>
  </w:style>
  <w:style w:type="paragraph" w:styleId="780">
    <w:name w:val="endnote text"/>
    <w:basedOn w:val="756"/>
    <w:link w:val="953"/>
    <w:uiPriority w:val="99"/>
    <w:semiHidden/>
    <w:unhideWhenUsed/>
    <w:qFormat/>
    <w:rPr>
      <w:sz w:val="20"/>
    </w:rPr>
  </w:style>
  <w:style w:type="paragraph" w:styleId="781">
    <w:name w:val="Footer"/>
    <w:basedOn w:val="756"/>
    <w:link w:val="826"/>
    <w:uiPriority w:val="99"/>
    <w:unhideWhenUsed/>
    <w:qFormat/>
    <w:pPr>
      <w:tabs>
        <w:tab w:val="center" w:pos="7143" w:leader="none"/>
        <w:tab w:val="right" w:pos="14287" w:leader="none"/>
      </w:tabs>
    </w:pPr>
  </w:style>
  <w:style w:type="paragraph" w:styleId="782">
    <w:name w:val="Header"/>
    <w:basedOn w:val="756"/>
    <w:link w:val="824"/>
    <w:uiPriority w:val="99"/>
    <w:unhideWhenUsed/>
    <w:qFormat/>
    <w:pPr>
      <w:tabs>
        <w:tab w:val="center" w:pos="7143" w:leader="none"/>
        <w:tab w:val="right" w:pos="14287" w:leader="none"/>
      </w:tabs>
    </w:pPr>
  </w:style>
  <w:style w:type="paragraph" w:styleId="783">
    <w:name w:val="toc 1"/>
    <w:basedOn w:val="756"/>
    <w:next w:val="756"/>
    <w:uiPriority w:val="39"/>
    <w:unhideWhenUsed/>
    <w:qFormat/>
    <w:pPr>
      <w:spacing w:after="57"/>
    </w:pPr>
  </w:style>
  <w:style w:type="paragraph" w:styleId="784">
    <w:name w:val="toc 4"/>
    <w:basedOn w:val="756"/>
    <w:next w:val="756"/>
    <w:uiPriority w:val="39"/>
    <w:unhideWhenUsed/>
    <w:qFormat/>
    <w:pPr>
      <w:ind w:left="850"/>
      <w:spacing w:after="57"/>
    </w:pPr>
  </w:style>
  <w:style w:type="paragraph" w:styleId="785">
    <w:name w:val="Subtitle"/>
    <w:basedOn w:val="756"/>
    <w:next w:val="756"/>
    <w:link w:val="819"/>
    <w:uiPriority w:val="11"/>
    <w:qFormat/>
    <w:pPr>
      <w:spacing w:before="200" w:after="200"/>
    </w:pPr>
    <w:rPr>
      <w:sz w:val="24"/>
      <w:szCs w:val="24"/>
    </w:rPr>
  </w:style>
  <w:style w:type="paragraph" w:styleId="786">
    <w:name w:val="footnote text"/>
    <w:basedOn w:val="756"/>
    <w:link w:val="952"/>
    <w:uiPriority w:val="99"/>
    <w:semiHidden/>
    <w:unhideWhenUsed/>
    <w:qFormat/>
    <w:pPr>
      <w:spacing w:after="40"/>
    </w:pPr>
    <w:rPr>
      <w:sz w:val="18"/>
    </w:rPr>
  </w:style>
  <w:style w:type="paragraph" w:styleId="787">
    <w:name w:val="toc 6"/>
    <w:basedOn w:val="756"/>
    <w:next w:val="756"/>
    <w:uiPriority w:val="39"/>
    <w:unhideWhenUsed/>
    <w:qFormat/>
    <w:pPr>
      <w:ind w:left="1417"/>
      <w:spacing w:after="57"/>
    </w:pPr>
  </w:style>
  <w:style w:type="paragraph" w:styleId="788">
    <w:name w:val="table of figures"/>
    <w:basedOn w:val="756"/>
    <w:next w:val="756"/>
    <w:uiPriority w:val="99"/>
    <w:unhideWhenUsed/>
    <w:qFormat/>
  </w:style>
  <w:style w:type="paragraph" w:styleId="789">
    <w:name w:val="toc 2"/>
    <w:basedOn w:val="756"/>
    <w:next w:val="756"/>
    <w:uiPriority w:val="39"/>
    <w:unhideWhenUsed/>
    <w:qFormat/>
    <w:pPr>
      <w:ind w:left="283"/>
      <w:spacing w:after="57"/>
    </w:pPr>
  </w:style>
  <w:style w:type="paragraph" w:styleId="790">
    <w:name w:val="toc 9"/>
    <w:basedOn w:val="756"/>
    <w:next w:val="756"/>
    <w:uiPriority w:val="39"/>
    <w:unhideWhenUsed/>
    <w:qFormat/>
    <w:pPr>
      <w:ind w:left="2268"/>
      <w:spacing w:after="57"/>
    </w:pPr>
  </w:style>
  <w:style w:type="paragraph" w:styleId="791">
    <w:name w:val="Normal (Web)"/>
    <w:basedOn w:val="756"/>
    <w:uiPriority w:val="99"/>
    <w:semiHidden/>
    <w:unhideWhenUsed/>
    <w:qFormat/>
    <w:pPr>
      <w:jc w:val="left"/>
      <w:spacing w:beforeAutospacing="1" w:afterAutospacing="1"/>
    </w:pPr>
    <w:rPr>
      <w:sz w:val="24"/>
    </w:rPr>
  </w:style>
  <w:style w:type="paragraph" w:styleId="792">
    <w:name w:val="Title"/>
    <w:basedOn w:val="756"/>
    <w:next w:val="756"/>
    <w:link w:val="818"/>
    <w:uiPriority w:val="10"/>
    <w:qFormat/>
    <w:pPr>
      <w:contextualSpacing/>
      <w:spacing w:before="300" w:after="200"/>
    </w:pPr>
    <w:rPr>
      <w:sz w:val="48"/>
      <w:szCs w:val="48"/>
    </w:rPr>
  </w:style>
  <w:style w:type="paragraph" w:styleId="793">
    <w:name w:val="annotation subject"/>
    <w:basedOn w:val="773"/>
    <w:next w:val="773"/>
    <w:link w:val="1016"/>
    <w:uiPriority w:val="99"/>
    <w:semiHidden/>
    <w:unhideWhenUsed/>
    <w:qFormat/>
    <w:rPr>
      <w:b/>
      <w:bCs/>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6"/>
    <w:uiPriority w:val="22"/>
    <w:qFormat/>
    <w:rPr>
      <w:b/>
    </w:rPr>
  </w:style>
  <w:style w:type="character" w:styleId="796">
    <w:name w:val="endnote reference"/>
    <w:uiPriority w:val="99"/>
    <w:semiHidden/>
    <w:unhideWhenUsed/>
    <w:qFormat/>
    <w:rPr>
      <w:vertAlign w:val="superscript"/>
    </w:rPr>
  </w:style>
  <w:style w:type="character" w:styleId="797">
    <w:name w:val="Emphasis"/>
    <w:basedOn w:val="766"/>
    <w:uiPriority w:val="20"/>
    <w:qFormat/>
    <w:rPr>
      <w:i/>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basedOn w:val="766"/>
    <w:uiPriority w:val="99"/>
    <w:semiHidden/>
    <w:unhideWhenUsed/>
    <w:qFormat/>
    <w:rPr>
      <w:sz w:val="21"/>
      <w:szCs w:val="21"/>
    </w:rPr>
  </w:style>
  <w:style w:type="character" w:styleId="800">
    <w:name w:val="footnote reference"/>
    <w:uiPriority w:val="99"/>
    <w:unhideWhenUsed/>
    <w:qFormat/>
    <w:rPr>
      <w:vertAlign w:val="superscript"/>
    </w:rPr>
  </w:style>
  <w:style w:type="paragraph" w:styleId="801" w:customStyle="1">
    <w:name w:val="段"/>
    <w:basedOn w:val="802"/>
    <w:next w:val="756"/>
    <w:uiPriority w:val="0"/>
    <w:qFormat/>
    <w:pPr>
      <w:ind w:firstLine="200"/>
      <w:widowControl/>
    </w:pPr>
    <w:rPr>
      <w:sz w:val="20"/>
    </w:rPr>
  </w:style>
  <w:style w:type="paragraph" w:styleId="802" w:customStyle="1">
    <w:name w:val="正文1"/>
    <w:basedOn w:val="756"/>
    <w:next w:val="803"/>
    <w:uiPriority w:val="0"/>
    <w:qFormat/>
    <w:pPr>
      <w:jc w:val="left"/>
      <w:spacing w:line="360" w:lineRule="atLeast"/>
    </w:pPr>
    <w:rPr>
      <w:rFonts w:ascii="宋体" w:cs="Arial"/>
      <w:sz w:val="24"/>
      <w:szCs w:val="20"/>
    </w:rPr>
  </w:style>
  <w:style w:type="paragraph" w:styleId="803" w:customStyle="1">
    <w:name w:val="正文文本1"/>
    <w:basedOn w:val="802"/>
    <w:next w:val="804"/>
    <w:uiPriority w:val="0"/>
    <w:qFormat/>
    <w:pPr>
      <w:spacing w:after="120"/>
    </w:pPr>
    <w:rPr>
      <w:lang w:eastAsia="en-US"/>
    </w:rPr>
  </w:style>
  <w:style w:type="paragraph" w:styleId="804" w:customStyle="1">
    <w:name w:val="一级条标题"/>
    <w:basedOn w:val="805"/>
    <w:next w:val="8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75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6" w:customStyle="1">
    <w:name w:val="Default"/>
    <w:next w:val="756"/>
    <w:uiPriority w:val="0"/>
    <w:qFormat/>
    <w:pPr>
      <w:widowControl w:val="off"/>
    </w:pPr>
    <w:rPr>
      <w:rFonts w:ascii="黑体" w:hAnsi="Times New Roman" w:eastAsia="黑体" w:cs="Times New Roman"/>
      <w:lang w:val="en-US" w:eastAsia="zh-CN" w:bidi="ar-SA"/>
    </w:rPr>
  </w:style>
  <w:style w:type="character" w:styleId="807" w:customStyle="1">
    <w:name w:val="标题 1 字符"/>
    <w:link w:val="757"/>
    <w:uiPriority w:val="9"/>
    <w:qFormat/>
    <w:rPr>
      <w:rFonts w:ascii="Arial" w:hAnsi="Arial" w:eastAsia="宋体" w:cs="Arial"/>
      <w:b/>
      <w:sz w:val="30"/>
      <w:szCs w:val="40"/>
    </w:rPr>
  </w:style>
  <w:style w:type="character" w:styleId="808" w:customStyle="1">
    <w:name w:val="标题 2 字符"/>
    <w:link w:val="758"/>
    <w:uiPriority w:val="9"/>
    <w:qFormat/>
    <w:rPr>
      <w:rFonts w:ascii="Arial" w:hAnsi="Arial" w:eastAsia="Arial" w:cs="Arial"/>
      <w:sz w:val="34"/>
    </w:rPr>
  </w:style>
  <w:style w:type="character" w:styleId="809" w:customStyle="1">
    <w:name w:val="标题 3 字符"/>
    <w:link w:val="759"/>
    <w:uiPriority w:val="9"/>
    <w:qFormat/>
    <w:rPr>
      <w:rFonts w:ascii="Arial" w:hAnsi="Arial" w:eastAsia="Arial" w:cs="Arial"/>
      <w:sz w:val="30"/>
      <w:szCs w:val="30"/>
    </w:rPr>
  </w:style>
  <w:style w:type="character" w:styleId="810" w:customStyle="1">
    <w:name w:val="标题 4 字符"/>
    <w:link w:val="760"/>
    <w:uiPriority w:val="9"/>
    <w:qFormat/>
    <w:rPr>
      <w:rFonts w:ascii="Arial" w:hAnsi="Arial" w:eastAsia="Arial" w:cs="Arial"/>
      <w:b/>
      <w:bCs/>
      <w:sz w:val="26"/>
      <w:szCs w:val="26"/>
    </w:rPr>
  </w:style>
  <w:style w:type="character" w:styleId="811" w:customStyle="1">
    <w:name w:val="标题 5 字符"/>
    <w:link w:val="761"/>
    <w:uiPriority w:val="9"/>
    <w:qFormat/>
    <w:rPr>
      <w:rFonts w:ascii="Arial" w:hAnsi="Arial" w:eastAsia="Arial" w:cs="Arial"/>
      <w:b/>
      <w:bCs/>
      <w:sz w:val="24"/>
      <w:szCs w:val="24"/>
    </w:rPr>
  </w:style>
  <w:style w:type="character" w:styleId="812" w:customStyle="1">
    <w:name w:val="标题 6 字符"/>
    <w:link w:val="762"/>
    <w:uiPriority w:val="9"/>
    <w:qFormat/>
    <w:rPr>
      <w:rFonts w:ascii="Arial" w:hAnsi="Arial" w:eastAsia="Arial" w:cs="Arial"/>
      <w:b/>
      <w:bCs/>
      <w:sz w:val="22"/>
      <w:szCs w:val="22"/>
    </w:rPr>
  </w:style>
  <w:style w:type="character" w:styleId="813" w:customStyle="1">
    <w:name w:val="标题 7 字符"/>
    <w:link w:val="763"/>
    <w:uiPriority w:val="9"/>
    <w:qFormat/>
    <w:rPr>
      <w:rFonts w:ascii="Arial" w:hAnsi="Arial" w:eastAsia="Arial" w:cs="Arial"/>
      <w:b/>
      <w:bCs/>
      <w:i/>
      <w:iCs/>
      <w:sz w:val="22"/>
      <w:szCs w:val="22"/>
    </w:rPr>
  </w:style>
  <w:style w:type="character" w:styleId="814" w:customStyle="1">
    <w:name w:val="标题 8 字符"/>
    <w:link w:val="764"/>
    <w:uiPriority w:val="9"/>
    <w:qFormat/>
    <w:rPr>
      <w:rFonts w:ascii="Arial" w:hAnsi="Arial" w:eastAsia="Arial" w:cs="Arial"/>
      <w:i/>
      <w:iCs/>
      <w:sz w:val="22"/>
      <w:szCs w:val="22"/>
    </w:rPr>
  </w:style>
  <w:style w:type="character" w:styleId="815" w:customStyle="1">
    <w:name w:val="标题 9 字符"/>
    <w:link w:val="765"/>
    <w:uiPriority w:val="9"/>
    <w:qFormat/>
    <w:rPr>
      <w:rFonts w:ascii="Arial" w:hAnsi="Arial" w:eastAsia="Arial" w:cs="Arial"/>
      <w:i/>
      <w:iCs/>
      <w:sz w:val="21"/>
      <w:szCs w:val="21"/>
    </w:rPr>
  </w:style>
  <w:style w:type="paragraph" w:styleId="816">
    <w:name w:val="List Paragraph"/>
    <w:basedOn w:val="756"/>
    <w:uiPriority w:val="34"/>
    <w:qFormat/>
    <w:pPr>
      <w:contextualSpacing/>
      <w:ind w:left="720"/>
    </w:p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标题 字符"/>
    <w:link w:val="792"/>
    <w:uiPriority w:val="10"/>
    <w:qFormat/>
    <w:rPr>
      <w:sz w:val="48"/>
      <w:szCs w:val="48"/>
    </w:rPr>
  </w:style>
  <w:style w:type="character" w:styleId="819" w:customStyle="1">
    <w:name w:val="副标题 字符"/>
    <w:link w:val="785"/>
    <w:uiPriority w:val="11"/>
    <w:qFormat/>
    <w:rPr>
      <w:sz w:val="24"/>
      <w:szCs w:val="24"/>
    </w:rPr>
  </w:style>
  <w:style w:type="paragraph" w:styleId="820">
    <w:name w:val="Quote"/>
    <w:basedOn w:val="756"/>
    <w:next w:val="756"/>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56"/>
    <w:next w:val="756"/>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
    <w:link w:val="782"/>
    <w:uiPriority w:val="99"/>
    <w:qFormat/>
  </w:style>
  <w:style w:type="character" w:styleId="825" w:customStyle="1">
    <w:name w:val="Footer Char"/>
    <w:uiPriority w:val="99"/>
    <w:qFormat/>
  </w:style>
  <w:style w:type="character" w:styleId="826" w:customStyle="1">
    <w:name w:val="页脚 字符"/>
    <w:link w:val="781"/>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86"/>
    <w:uiPriority w:val="99"/>
    <w:qFormat/>
    <w:rPr>
      <w:sz w:val="18"/>
    </w:rPr>
  </w:style>
  <w:style w:type="character" w:styleId="953" w:customStyle="1">
    <w:name w:val="尾注文本 字符"/>
    <w:link w:val="780"/>
    <w:uiPriority w:val="99"/>
    <w:qFormat/>
    <w:rPr>
      <w:sz w:val="20"/>
    </w:r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标题 11"/>
    <w:basedOn w:val="756"/>
    <w:next w:val="756"/>
    <w:uiPriority w:val="9"/>
    <w:qFormat/>
    <w:pPr>
      <w:keepLines/>
      <w:keepNext/>
      <w:spacing w:before="340" w:after="330" w:line="578" w:lineRule="auto"/>
      <w:outlineLvl w:val="0"/>
    </w:pPr>
    <w:rPr>
      <w:b/>
      <w:bCs/>
      <w:sz w:val="44"/>
      <w:szCs w:val="44"/>
    </w:rPr>
  </w:style>
  <w:style w:type="paragraph" w:styleId="956" w:customStyle="1">
    <w:name w:val="标题 21"/>
    <w:basedOn w:val="756"/>
    <w:next w:val="7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标题 31"/>
    <w:basedOn w:val="756"/>
    <w:next w:val="756"/>
    <w:uiPriority w:val="0"/>
    <w:qFormat/>
    <w:pPr>
      <w:keepLines/>
      <w:keepNext/>
      <w:spacing w:before="260" w:after="260" w:line="416" w:lineRule="auto"/>
      <w:outlineLvl w:val="2"/>
    </w:pPr>
    <w:rPr>
      <w:b/>
      <w:bCs/>
      <w:sz w:val="32"/>
      <w:szCs w:val="32"/>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paragraph" w:styleId="960" w:customStyle="1">
    <w:name w:val="正文文本缩进1"/>
    <w:basedOn w:val="756"/>
    <w:next w:val="961"/>
    <w:uiPriority w:val="0"/>
    <w:qFormat/>
    <w:pPr>
      <w:ind w:left="420"/>
      <w:spacing w:after="120"/>
    </w:pPr>
    <w:rPr>
      <w:rFonts w:ascii="等线" w:hAnsi="等线" w:eastAsia="等线"/>
    </w:rPr>
  </w:style>
  <w:style w:type="paragraph" w:styleId="961" w:customStyle="1">
    <w:name w:val="寄信人地址1"/>
    <w:basedOn w:val="756"/>
    <w:uiPriority w:val="99"/>
    <w:unhideWhenUsed/>
    <w:qFormat/>
    <w:rPr>
      <w:rFonts w:ascii="Arial" w:hAnsi="Arial"/>
    </w:rPr>
  </w:style>
  <w:style w:type="paragraph" w:styleId="962" w:customStyle="1">
    <w:name w:val="正文缩进1"/>
    <w:basedOn w:val="756"/>
    <w:uiPriority w:val="0"/>
    <w:unhideWhenUsed/>
    <w:qFormat/>
    <w:pPr>
      <w:ind w:firstLine="420"/>
    </w:pPr>
  </w:style>
  <w:style w:type="paragraph" w:styleId="963" w:customStyle="1">
    <w:name w:val="批注文字1"/>
    <w:basedOn w:val="756"/>
    <w:link w:val="964"/>
    <w:uiPriority w:val="0"/>
    <w:qFormat/>
    <w:pPr>
      <w:jc w:val="left"/>
    </w:pPr>
  </w:style>
  <w:style w:type="character" w:styleId="964" w:customStyle="1">
    <w:name w:val="批注文字 Char"/>
    <w:link w:val="963"/>
    <w:uiPriority w:val="0"/>
    <w:qFormat/>
    <w:rPr>
      <w:rFonts w:ascii="Calibri" w:hAnsi="Calibri"/>
      <w:sz w:val="21"/>
      <w:szCs w:val="22"/>
    </w:rPr>
  </w:style>
  <w:style w:type="paragraph" w:styleId="965" w:customStyle="1">
    <w:name w:val="正文文本11"/>
    <w:basedOn w:val="756"/>
    <w:next w:val="966"/>
    <w:uiPriority w:val="0"/>
    <w:qFormat/>
    <w:rPr>
      <w:rFonts w:ascii="楷体_GB2312" w:hAnsi="Arial" w:eastAsia="楷体_GB2312"/>
      <w:sz w:val="28"/>
      <w:szCs w:val="28"/>
    </w:rPr>
  </w:style>
  <w:style w:type="paragraph" w:styleId="966" w:customStyle="1">
    <w:name w:val="标题1"/>
    <w:basedOn w:val="756"/>
    <w:next w:val="756"/>
    <w:uiPriority w:val="0"/>
    <w:qFormat/>
    <w:pPr>
      <w:jc w:val="center"/>
      <w:spacing w:before="240" w:after="60" w:line="360" w:lineRule="auto"/>
      <w:outlineLvl w:val="0"/>
    </w:pPr>
    <w:rPr>
      <w:rFonts w:ascii="宋体" w:hAnsi="宋体"/>
      <w:b/>
      <w:bCs/>
      <w:sz w:val="32"/>
      <w:szCs w:val="32"/>
    </w:rPr>
  </w:style>
  <w:style w:type="paragraph" w:styleId="967" w:customStyle="1">
    <w:name w:val="纯文本1"/>
    <w:basedOn w:val="756"/>
    <w:uiPriority w:val="99"/>
    <w:qFormat/>
    <w:rPr>
      <w:rFonts w:ascii="宋体" w:hAnsi="Courier New"/>
      <w:sz w:val="20"/>
      <w:szCs w:val="21"/>
    </w:rPr>
  </w:style>
  <w:style w:type="paragraph" w:styleId="968" w:customStyle="1">
    <w:name w:val="正文文本缩进 21"/>
    <w:basedOn w:val="756"/>
    <w:uiPriority w:val="0"/>
    <w:qFormat/>
    <w:pPr>
      <w:ind w:left="640"/>
      <w:spacing w:after="120" w:line="480" w:lineRule="auto"/>
    </w:pPr>
    <w:rPr>
      <w:rFonts w:eastAsia="仿宋_GB2312"/>
      <w:sz w:val="32"/>
      <w:szCs w:val="28"/>
    </w:rPr>
  </w:style>
  <w:style w:type="paragraph" w:styleId="969" w:customStyle="1">
    <w:name w:val="批注框文本1"/>
    <w:basedOn w:val="756"/>
    <w:link w:val="970"/>
    <w:uiPriority w:val="0"/>
    <w:qFormat/>
    <w:rPr>
      <w:sz w:val="18"/>
      <w:szCs w:val="18"/>
    </w:rPr>
  </w:style>
  <w:style w:type="character" w:styleId="970" w:customStyle="1">
    <w:name w:val="批注框文本 Char"/>
    <w:link w:val="969"/>
    <w:uiPriority w:val="0"/>
    <w:qFormat/>
    <w:rPr>
      <w:sz w:val="18"/>
      <w:szCs w:val="18"/>
    </w:rPr>
  </w:style>
  <w:style w:type="paragraph" w:styleId="971" w:customStyle="1">
    <w:name w:val="页脚1"/>
    <w:basedOn w:val="756"/>
    <w:uiPriority w:val="99"/>
    <w:unhideWhenUsed/>
    <w:qFormat/>
    <w:pPr>
      <w:jc w:val="left"/>
      <w:tabs>
        <w:tab w:val="center" w:pos="4153" w:leader="none"/>
        <w:tab w:val="right" w:pos="8306" w:leader="none"/>
      </w:tabs>
    </w:pPr>
    <w:rPr>
      <w:sz w:val="18"/>
      <w:szCs w:val="18"/>
    </w:rPr>
  </w:style>
  <w:style w:type="paragraph" w:styleId="972" w:customStyle="1">
    <w:name w:val="页眉1"/>
    <w:basedOn w:val="75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3" w:customStyle="1">
    <w:name w:val="目录 11"/>
    <w:basedOn w:val="756"/>
    <w:next w:val="756"/>
    <w:uiPriority w:val="39"/>
    <w:unhideWhenUsed/>
    <w:qFormat/>
  </w:style>
  <w:style w:type="paragraph" w:styleId="974" w:customStyle="1">
    <w:name w:val="目录 21"/>
    <w:basedOn w:val="756"/>
    <w:next w:val="756"/>
    <w:uiPriority w:val="0"/>
    <w:qFormat/>
    <w:pPr>
      <w:ind w:left="420"/>
    </w:pPr>
  </w:style>
  <w:style w:type="paragraph" w:styleId="975" w:customStyle="1">
    <w:name w:val="正文文本 21"/>
    <w:basedOn w:val="756"/>
    <w:uiPriority w:val="0"/>
    <w:qFormat/>
    <w:pPr>
      <w:spacing w:after="120" w:line="480" w:lineRule="auto"/>
    </w:pPr>
  </w:style>
  <w:style w:type="paragraph" w:styleId="976" w:customStyle="1">
    <w:name w:val="信息标题1"/>
    <w:basedOn w:val="75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7" w:customStyle="1">
    <w:name w:val="普通(网站)1"/>
    <w:basedOn w:val="756"/>
    <w:uiPriority w:val="0"/>
    <w:qFormat/>
    <w:rPr>
      <w:rFonts w:ascii="Times New Roman" w:hAnsi="Times New Roman"/>
      <w:sz w:val="24"/>
    </w:rPr>
  </w:style>
  <w:style w:type="paragraph" w:styleId="978" w:customStyle="1">
    <w:name w:val="批注主题1"/>
    <w:basedOn w:val="963"/>
    <w:next w:val="963"/>
    <w:link w:val="979"/>
    <w:uiPriority w:val="0"/>
    <w:qFormat/>
    <w:rPr>
      <w:b/>
      <w:bCs/>
    </w:rPr>
  </w:style>
  <w:style w:type="character" w:styleId="979" w:customStyle="1">
    <w:name w:val="批注主题 Char"/>
    <w:link w:val="978"/>
    <w:uiPriority w:val="0"/>
    <w:qFormat/>
    <w:rPr>
      <w:rFonts w:ascii="Calibri" w:hAnsi="Calibri"/>
      <w:b/>
      <w:bCs/>
      <w:sz w:val="21"/>
      <w:szCs w:val="22"/>
    </w:rPr>
  </w:style>
  <w:style w:type="paragraph" w:styleId="980" w:customStyle="1">
    <w:name w:val="正文首行缩进 21"/>
    <w:basedOn w:val="960"/>
    <w:next w:val="756"/>
    <w:uiPriority w:val="0"/>
    <w:qFormat/>
    <w:pPr>
      <w:ind w:firstLine="420"/>
      <w:spacing w:before="100" w:beforeAutospacing="1"/>
    </w:pPr>
    <w:rPr>
      <w:rFonts w:ascii="Times New Roman" w:hAnsi="Times New Roman" w:eastAsia="宋体"/>
      <w:sz w:val="20"/>
      <w:szCs w:val="21"/>
    </w:rPr>
  </w:style>
  <w:style w:type="table" w:styleId="981" w:customStyle="1">
    <w:name w:val="网格型1"/>
    <w:basedOn w:val="959"/>
    <w:uiPriority w:val="0"/>
    <w:qFormat/>
    <w:pPr>
      <w:jc w:val="both"/>
      <w:widowControl w:val="off"/>
    </w:pPr>
    <w:tblPr/>
  </w:style>
  <w:style w:type="character" w:styleId="982" w:customStyle="1">
    <w:name w:val="要点1"/>
    <w:uiPriority w:val="0"/>
    <w:qFormat/>
    <w:rPr>
      <w:b/>
    </w:rPr>
  </w:style>
  <w:style w:type="character" w:styleId="983" w:customStyle="1">
    <w:name w:val="强调1"/>
    <w:uiPriority w:val="0"/>
    <w:qFormat/>
    <w:rPr>
      <w:i/>
    </w:rPr>
  </w:style>
  <w:style w:type="character" w:styleId="984" w:customStyle="1">
    <w:name w:val="超链接1"/>
    <w:uiPriority w:val="0"/>
    <w:qFormat/>
    <w:rPr>
      <w:color w:val="0000ff"/>
      <w:u w:val="single"/>
    </w:rPr>
  </w:style>
  <w:style w:type="character" w:styleId="985" w:customStyle="1">
    <w:name w:val="批注引用1"/>
    <w:uiPriority w:val="0"/>
    <w:qFormat/>
    <w:rPr>
      <w:sz w:val="21"/>
      <w:szCs w:val="21"/>
    </w:rPr>
  </w:style>
  <w:style w:type="paragraph" w:styleId="986" w:customStyle="1">
    <w:name w:val="正文（缩进）"/>
    <w:basedOn w:val="756"/>
    <w:uiPriority w:val="0"/>
    <w:qFormat/>
    <w:pPr>
      <w:ind w:firstLine="480"/>
      <w:spacing w:before="156" w:after="156"/>
    </w:pPr>
  </w:style>
  <w:style w:type="paragraph" w:styleId="987"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988" w:customStyle="1">
    <w:name w:val="Char"/>
    <w:basedOn w:val="756"/>
    <w:uiPriority w:val="0"/>
    <w:qFormat/>
    <w:pPr>
      <w:ind w:firstLine="200"/>
      <w:tabs>
        <w:tab w:val="left" w:pos="360" w:leader="none"/>
      </w:tabs>
    </w:pPr>
    <w:rPr>
      <w:rFonts w:ascii="Times New Roman" w:hAnsi="Times New Roman"/>
      <w:sz w:val="28"/>
      <w:szCs w:val="30"/>
    </w:rPr>
  </w:style>
  <w:style w:type="paragraph" w:styleId="989" w:customStyle="1">
    <w:name w:val="Table Paragraph"/>
    <w:basedOn w:val="756"/>
    <w:uiPriority w:val="1"/>
    <w:qFormat/>
    <w:rPr>
      <w:rFonts w:ascii="Noto Sans CJK JP Regular" w:hAnsi="Noto Sans CJK JP Regular" w:eastAsia="Noto Sans CJK JP Regular" w:cs="Noto Sans CJK JP Regular"/>
    </w:rPr>
  </w:style>
  <w:style w:type="paragraph" w:styleId="990" w:customStyle="1">
    <w:name w:val="正文（1）"/>
    <w:basedOn w:val="756"/>
    <w:uiPriority w:val="0"/>
    <w:qFormat/>
    <w:pPr>
      <w:numPr>
        <w:ilvl w:val="0"/>
        <w:numId w:val="3"/>
      </w:numPr>
      <w:ind w:firstLine="200"/>
    </w:pPr>
    <w:rPr>
      <w:szCs w:val="24"/>
    </w:rPr>
  </w:style>
  <w:style w:type="paragraph" w:styleId="991" w:customStyle="1">
    <w:name w:val="朱-正文"/>
    <w:basedOn w:val="756"/>
    <w:uiPriority w:val="0"/>
    <w:qFormat/>
    <w:pPr>
      <w:ind w:firstLine="200"/>
    </w:pPr>
    <w:rPr>
      <w:rFonts w:ascii="Times New Roman"/>
      <w:color w:val="000000"/>
      <w:szCs w:val="24"/>
      <w:lang w:val="en-GB"/>
    </w:rPr>
  </w:style>
  <w:style w:type="paragraph" w:styleId="992" w:customStyle="1">
    <w:name w:val="GP正文(首行缩进)"/>
    <w:basedOn w:val="756"/>
    <w:uiPriority w:val="0"/>
    <w:qFormat/>
    <w:pPr>
      <w:ind w:firstLine="480"/>
      <w:jc w:val="left"/>
    </w:pPr>
    <w:rPr>
      <w:rFonts w:ascii="Times New Roman" w:hAnsi="宋体"/>
      <w:sz w:val="24"/>
      <w:szCs w:val="24"/>
    </w:rPr>
  </w:style>
  <w:style w:type="character" w:styleId="993" w:customStyle="1">
    <w:name w:val="font71"/>
    <w:uiPriority w:val="0"/>
    <w:qFormat/>
    <w:rPr>
      <w:rFonts w:hint="eastAsia" w:ascii="宋体" w:hAnsi="宋体" w:eastAsia="宋体" w:cs="宋体"/>
      <w:color w:val="ff0000"/>
      <w:sz w:val="21"/>
      <w:szCs w:val="21"/>
      <w:u w:val="none"/>
    </w:rPr>
  </w:style>
  <w:style w:type="character" w:styleId="994" w:customStyle="1">
    <w:name w:val="font41"/>
    <w:uiPriority w:val="0"/>
    <w:qFormat/>
    <w:rPr>
      <w:rFonts w:hint="eastAsia" w:ascii="宋体" w:hAnsi="宋体" w:eastAsia="宋体" w:cs="宋体"/>
      <w:color w:val="000000"/>
      <w:sz w:val="21"/>
      <w:szCs w:val="21"/>
      <w:u w:val="none"/>
    </w:rPr>
  </w:style>
  <w:style w:type="paragraph" w:styleId="995" w:customStyle="1">
    <w:name w:val="列出段落"/>
    <w:basedOn w:val="756"/>
    <w:uiPriority w:val="0"/>
    <w:qFormat/>
    <w:pPr>
      <w:ind w:firstLine="420"/>
    </w:pPr>
  </w:style>
  <w:style w:type="paragraph" w:styleId="996" w:customStyle="1">
    <w:name w:val="列出段落2"/>
    <w:basedOn w:val="756"/>
    <w:uiPriority w:val="34"/>
    <w:qFormat/>
    <w:pPr>
      <w:ind w:firstLine="420"/>
    </w:pPr>
    <w:rPr>
      <w:rFonts w:ascii="宋体"/>
      <w:color w:val="404040"/>
    </w:rPr>
  </w:style>
  <w:style w:type="paragraph" w:styleId="997" w:customStyle="1">
    <w:name w:val="列表段落1"/>
    <w:basedOn w:val="756"/>
    <w:uiPriority w:val="0"/>
    <w:qFormat/>
    <w:pPr>
      <w:ind w:firstLine="200"/>
    </w:pPr>
    <w:rPr>
      <w:rFonts w:cs="宋体"/>
    </w:rPr>
  </w:style>
  <w:style w:type="character" w:styleId="998" w:customStyle="1">
    <w:name w:val="font51"/>
    <w:uiPriority w:val="0"/>
    <w:qFormat/>
    <w:rPr>
      <w:rFonts w:hint="eastAsia" w:ascii="宋体" w:hAnsi="宋体" w:eastAsia="宋体" w:cs="宋体"/>
      <w:color w:val="000000"/>
      <w:sz w:val="24"/>
      <w:szCs w:val="24"/>
      <w:u w:val="none"/>
      <w:vertAlign w:val="subscript"/>
    </w:rPr>
  </w:style>
  <w:style w:type="character" w:styleId="999" w:customStyle="1">
    <w:name w:val="font61"/>
    <w:uiPriority w:val="0"/>
    <w:qFormat/>
    <w:rPr>
      <w:rFonts w:hint="eastAsia" w:ascii="宋体" w:hAnsi="宋体" w:eastAsia="宋体" w:cs="宋体"/>
      <w:color w:val="000000"/>
      <w:sz w:val="24"/>
      <w:szCs w:val="24"/>
      <w:u w:val="none"/>
    </w:rPr>
  </w:style>
  <w:style w:type="character" w:styleId="1000" w:customStyle="1">
    <w:name w:val="font01"/>
    <w:uiPriority w:val="0"/>
    <w:qFormat/>
    <w:rPr>
      <w:rFonts w:hint="eastAsia" w:ascii="宋体" w:hAnsi="宋体" w:eastAsia="宋体" w:cs="宋体"/>
      <w:color w:val="000000"/>
      <w:sz w:val="24"/>
      <w:szCs w:val="24"/>
      <w:u w:val="none"/>
    </w:rPr>
  </w:style>
  <w:style w:type="character" w:styleId="1001" w:customStyle="1">
    <w:name w:val="font81"/>
    <w:uiPriority w:val="0"/>
    <w:qFormat/>
    <w:rPr>
      <w:rFonts w:ascii="微软雅黑" w:hAnsi="微软雅黑" w:eastAsia="微软雅黑" w:cs="微软雅黑"/>
      <w:color w:val="000000"/>
      <w:sz w:val="24"/>
      <w:szCs w:val="24"/>
      <w:u w:val="none"/>
    </w:rPr>
  </w:style>
  <w:style w:type="character" w:styleId="1002" w:customStyle="1">
    <w:name w:val="font91"/>
    <w:uiPriority w:val="0"/>
    <w:qFormat/>
    <w:rPr>
      <w:rFonts w:ascii="Segoe UI Symbol" w:hAnsi="Segoe UI Symbol" w:eastAsia="Segoe UI Symbol" w:cs="Segoe UI Symbol"/>
      <w:color w:val="000000"/>
      <w:sz w:val="24"/>
      <w:szCs w:val="24"/>
      <w:u w:val="none"/>
    </w:rPr>
  </w:style>
  <w:style w:type="character" w:styleId="1003" w:customStyle="1">
    <w:name w:val="font101"/>
    <w:uiPriority w:val="0"/>
    <w:qFormat/>
    <w:rPr>
      <w:rFonts w:ascii="Calibri" w:hAnsi="Calibri" w:cs="Calibri"/>
      <w:color w:val="000000"/>
      <w:sz w:val="24"/>
      <w:szCs w:val="24"/>
      <w:u w:val="none"/>
    </w:rPr>
  </w:style>
  <w:style w:type="paragraph" w:styleId="1004" w:customStyle="1">
    <w:name w:val="TableItem"/>
    <w:uiPriority w:val="0"/>
    <w:qFormat/>
    <w:rPr>
      <w:rFonts w:ascii="Verdana" w:hAnsi="Verdana" w:eastAsia="宋体" w:cs="Verdana"/>
      <w:b/>
      <w:bCs/>
      <w:color w:val="538135"/>
      <w:spacing w:val="-10"/>
      <w:sz w:val="16"/>
      <w:szCs w:val="28"/>
      <w:lang w:val="en-US" w:eastAsia="zh-CN" w:bidi="ar-SA"/>
    </w:rPr>
  </w:style>
  <w:style w:type="paragraph" w:styleId="1005" w:customStyle="1">
    <w:name w:val="TableEmphasis"/>
    <w:basedOn w:val="756"/>
    <w:uiPriority w:val="0"/>
    <w:qFormat/>
    <w:rPr>
      <w:rFonts w:ascii="Times New Roman" w:hAnsi="Times New Roman" w:eastAsia="Times New Roman"/>
      <w:b/>
      <w:bCs/>
      <w:color w:val="3333ff"/>
      <w:sz w:val="16"/>
      <w:szCs w:val="18"/>
    </w:rPr>
  </w:style>
  <w:style w:type="paragraph" w:styleId="1006" w:customStyle="1">
    <w:name w:val="修订1"/>
    <w:uiPriority w:val="99"/>
    <w:unhideWhenUsed/>
    <w:qFormat/>
    <w:rPr>
      <w:rFonts w:ascii="Calibri" w:hAnsi="Calibri" w:eastAsia="宋体" w:cs="Times New Roman"/>
      <w:sz w:val="21"/>
      <w:szCs w:val="22"/>
      <w:lang w:val="en-US" w:eastAsia="zh-CN" w:bidi="ar-SA"/>
    </w:rPr>
  </w:style>
  <w:style w:type="paragraph" w:styleId="1007" w:customStyle="1">
    <w:name w:val="修订2"/>
    <w:uiPriority w:val="99"/>
    <w:semiHidden/>
    <w:qFormat/>
    <w:rPr>
      <w:rFonts w:ascii="Calibri" w:hAnsi="Calibri" w:eastAsia="宋体" w:cs="Times New Roman"/>
      <w:sz w:val="21"/>
      <w:szCs w:val="22"/>
      <w:lang w:val="en-US" w:eastAsia="zh-CN" w:bidi="ar-SA"/>
    </w:rPr>
  </w:style>
  <w:style w:type="character" w:styleId="1008" w:customStyle="1">
    <w:name w:val="font11"/>
    <w:uiPriority w:val="0"/>
    <w:qFormat/>
    <w:rPr>
      <w:rFonts w:hint="eastAsia" w:ascii="宋体" w:hAnsi="宋体" w:eastAsia="宋体" w:cs="宋体"/>
      <w:color w:val="000000"/>
      <w:sz w:val="24"/>
      <w:szCs w:val="24"/>
      <w:u w:val="none"/>
    </w:rPr>
  </w:style>
  <w:style w:type="character" w:styleId="1009" w:customStyle="1">
    <w:name w:val="font21"/>
    <w:basedOn w:val="766"/>
    <w:uiPriority w:val="0"/>
    <w:qFormat/>
    <w:rPr>
      <w:rFonts w:ascii="Segoe UI Symbol" w:hAnsi="Segoe UI Symbol" w:eastAsia="Segoe UI Symbol" w:cs="Segoe UI Symbol"/>
      <w:color w:val="000000"/>
      <w:sz w:val="24"/>
      <w:szCs w:val="24"/>
      <w:u w:val="none"/>
    </w:rPr>
  </w:style>
  <w:style w:type="character" w:styleId="1010" w:customStyle="1">
    <w:name w:val="NormalCharacter1"/>
    <w:uiPriority w:val="0"/>
    <w:semiHidden/>
    <w:qFormat/>
  </w:style>
  <w:style w:type="character" w:styleId="1011" w:customStyle="1">
    <w:name w:val="font31"/>
    <w:uiPriority w:val="0"/>
    <w:qFormat/>
    <w:rPr>
      <w:rFonts w:hint="eastAsia" w:ascii="宋体" w:hAnsi="宋体" w:eastAsia="宋体" w:cs="宋体"/>
      <w:color w:val="000000"/>
      <w:sz w:val="21"/>
      <w:szCs w:val="21"/>
      <w:u w:val="none"/>
    </w:rPr>
  </w:style>
  <w:style w:type="paragraph" w:styleId="1012" w:customStyle="1">
    <w:name w:val="无间隔1"/>
    <w:uiPriority w:val="1"/>
    <w:qFormat/>
    <w:rPr>
      <w:rFonts w:ascii="Times New Roman" w:hAnsi="Times New Roman" w:eastAsia="宋体" w:cs="Times New Roman"/>
      <w:lang w:val="en-US" w:eastAsia="zh-CN" w:bidi="ar-SA"/>
    </w:rPr>
  </w:style>
  <w:style w:type="paragraph" w:styleId="1013" w:customStyle="1">
    <w:name w:val="索引 41"/>
    <w:basedOn w:val="756"/>
    <w:next w:val="756"/>
    <w:uiPriority w:val="99"/>
    <w:unhideWhenUsed/>
    <w:qFormat/>
    <w:pPr>
      <w:ind w:left="600"/>
    </w:pPr>
    <w:rPr>
      <w:rFonts w:ascii="Verdana" w:hAnsi="Verdana" w:eastAsia="微软雅黑"/>
      <w:szCs w:val="20"/>
    </w:rPr>
  </w:style>
  <w:style w:type="paragraph" w:styleId="1014" w:customStyle="1">
    <w:name w:val="图例"/>
    <w:basedOn w:val="756"/>
    <w:uiPriority w:val="0"/>
    <w:qFormat/>
    <w:pPr>
      <w:jc w:val="center"/>
      <w:spacing w:before="120" w:after="120" w:line="360" w:lineRule="auto"/>
    </w:pPr>
    <w:rPr>
      <w:rFonts w:ascii="Times New Roman" w:hAnsi="Times New Roman" w:eastAsia="仿宋_GB2312"/>
      <w:b/>
      <w:sz w:val="24"/>
    </w:rPr>
  </w:style>
  <w:style w:type="character" w:styleId="1015" w:customStyle="1">
    <w:name w:val="批注文字 字符"/>
    <w:basedOn w:val="766"/>
    <w:link w:val="773"/>
    <w:uiPriority w:val="99"/>
    <w:semiHidden/>
    <w:qFormat/>
    <w:rPr>
      <w:rFonts w:ascii="Calibri" w:hAnsi="Calibri"/>
      <w:sz w:val="21"/>
      <w:szCs w:val="22"/>
    </w:rPr>
  </w:style>
  <w:style w:type="character" w:styleId="1016" w:customStyle="1">
    <w:name w:val="批注主题 字符"/>
    <w:basedOn w:val="1015"/>
    <w:link w:val="793"/>
    <w:uiPriority w:val="99"/>
    <w:semiHidden/>
    <w:qFormat/>
    <w:rPr>
      <w:rFonts w:ascii="Calibri" w:hAnsi="Calibri"/>
      <w:b/>
      <w:bCs/>
      <w:sz w:val="21"/>
      <w:szCs w:val="22"/>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孙玉君</cp:lastModifiedBy>
  <cp:revision>5</cp:revision>
  <dcterms:created xsi:type="dcterms:W3CDTF">2025-11-06T04:13:00Z</dcterms:created>
  <dcterms:modified xsi:type="dcterms:W3CDTF">2025-12-15T06:02:56Z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B7E80C5285D748388339475399DE6CE9_13</vt:lpwstr>
  </property>
  <property fmtid="{D5CDD505-2E9C-101B-9397-08002B2CF9AE}" pid="4" name="KSOTemplateDocerSaveRecord">
    <vt:lpwstr>eyJoZGlkIjoiYTM3Nzg0ZDg0ZGE2NDY4ZGE1NDI2NDQzNzQ1MTA2ZWUiLCJ1c2VySWQiOiIxNzQyNjU1NjYyIn0=</vt:lpwstr>
  </property>
</Properties>
</file>